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912"/>
        <w:gridCol w:w="7874"/>
      </w:tblGrid>
      <w:tr w:rsidR="002432EA" w:rsidRPr="002432EA" w:rsidTr="009B05EE">
        <w:tc>
          <w:tcPr>
            <w:tcW w:w="6912" w:type="dxa"/>
          </w:tcPr>
          <w:p w:rsidR="002432EA" w:rsidRDefault="002432EA" w:rsidP="002432EA">
            <w:pPr>
              <w:pStyle w:val="Text0"/>
              <w:spacing w:after="120"/>
              <w:jc w:val="center"/>
              <w:rPr>
                <w:b/>
                <w:sz w:val="20"/>
              </w:rPr>
            </w:pPr>
            <w:r>
              <w:rPr>
                <w:b/>
                <w:sz w:val="20"/>
              </w:rPr>
              <w:t>REINSURANCE UNDER</w:t>
            </w:r>
            <w:r>
              <w:rPr>
                <w:b/>
                <w:sz w:val="20"/>
              </w:rPr>
              <w:t>WRITING &amp; CLAIMS CONTROL CLAUSE</w:t>
            </w:r>
          </w:p>
        </w:tc>
        <w:tc>
          <w:tcPr>
            <w:tcW w:w="7874" w:type="dxa"/>
          </w:tcPr>
          <w:p w:rsidR="002432EA" w:rsidRPr="002432EA" w:rsidRDefault="002432EA">
            <w:pPr>
              <w:pStyle w:val="Text0"/>
              <w:jc w:val="center"/>
              <w:rPr>
                <w:b/>
                <w:sz w:val="20"/>
                <w:lang w:val="fr-FR"/>
              </w:rPr>
            </w:pPr>
            <w:r w:rsidRPr="002432EA">
              <w:rPr>
                <w:b/>
                <w:sz w:val="20"/>
                <w:lang w:val="fr-FR"/>
              </w:rPr>
              <w:t>CLAUSE DE CONTROLE DE LA SOUSCRIPTION ET DES SINISTRES EN REASSURANCE</w:t>
            </w:r>
          </w:p>
        </w:tc>
      </w:tr>
      <w:tr w:rsidR="002432EA" w:rsidTr="009B05EE">
        <w:tc>
          <w:tcPr>
            <w:tcW w:w="6912" w:type="dxa"/>
          </w:tcPr>
          <w:p w:rsidR="002432EA" w:rsidRPr="002432EA" w:rsidRDefault="002432EA" w:rsidP="002432EA">
            <w:pPr>
              <w:pStyle w:val="Text05"/>
              <w:ind w:left="567" w:hanging="567"/>
              <w:rPr>
                <w:sz w:val="20"/>
              </w:rPr>
            </w:pPr>
            <w:r>
              <w:rPr>
                <w:sz w:val="20"/>
              </w:rPr>
              <w:t>1.</w:t>
            </w:r>
            <w:r>
              <w:rPr>
                <w:sz w:val="20"/>
              </w:rPr>
              <w:tab/>
              <w:t xml:space="preserve">Being a Reinsurance of </w:t>
            </w:r>
            <w:proofErr w:type="gramStart"/>
            <w:r>
              <w:rPr>
                <w:sz w:val="20"/>
              </w:rPr>
              <w:t>the ....................................................</w:t>
            </w:r>
            <w:proofErr w:type="gramEnd"/>
            <w:r>
              <w:rPr>
                <w:sz w:val="20"/>
              </w:rPr>
              <w:t xml:space="preserve"> Company and, except as provided by paragraph 2 hereof, warranted the same gross rate, terms and conditions as the said Company as agreed at inception, and that the said Company retains during the currency of this Policy at least .................................... on the identical subject matter and risk and in identically the same proportion on each separate part thereof, but in the event of the retained line being less than as above, Reinsurers' lines</w:t>
            </w:r>
            <w:r>
              <w:rPr>
                <w:sz w:val="20"/>
              </w:rPr>
              <w:t xml:space="preserve"> to be proportionately reduced.</w:t>
            </w:r>
          </w:p>
        </w:tc>
        <w:tc>
          <w:tcPr>
            <w:tcW w:w="7874" w:type="dxa"/>
          </w:tcPr>
          <w:p w:rsidR="002432EA" w:rsidRPr="002432EA" w:rsidRDefault="002432EA" w:rsidP="00915183">
            <w:pPr>
              <w:pStyle w:val="Text05"/>
              <w:ind w:left="567" w:hanging="567"/>
              <w:rPr>
                <w:sz w:val="20"/>
                <w:lang w:val="fr-FR"/>
              </w:rPr>
            </w:pPr>
            <w:r w:rsidRPr="002432EA">
              <w:rPr>
                <w:sz w:val="20"/>
                <w:lang w:val="fr-FR"/>
              </w:rPr>
              <w:t>1.</w:t>
            </w:r>
            <w:r w:rsidRPr="002432EA">
              <w:rPr>
                <w:sz w:val="20"/>
                <w:lang w:val="fr-FR"/>
              </w:rPr>
              <w:tab/>
            </w:r>
            <w:r w:rsidRPr="002432EA">
              <w:rPr>
                <w:sz w:val="20"/>
                <w:lang w:val="fr-FR"/>
              </w:rPr>
              <w:t>Intervenant en tant que</w:t>
            </w:r>
            <w:r w:rsidRPr="002432EA">
              <w:rPr>
                <w:sz w:val="20"/>
                <w:lang w:val="fr-FR"/>
              </w:rPr>
              <w:t xml:space="preserve"> R</w:t>
            </w:r>
            <w:r w:rsidRPr="002432EA">
              <w:rPr>
                <w:sz w:val="20"/>
                <w:lang w:val="fr-FR"/>
              </w:rPr>
              <w:t>éas</w:t>
            </w:r>
            <w:r w:rsidRPr="002432EA">
              <w:rPr>
                <w:sz w:val="20"/>
                <w:lang w:val="fr-FR"/>
              </w:rPr>
              <w:t xml:space="preserve">surance </w:t>
            </w:r>
            <w:r w:rsidRPr="002432EA">
              <w:rPr>
                <w:sz w:val="20"/>
                <w:lang w:val="fr-FR"/>
              </w:rPr>
              <w:t>de la Société</w:t>
            </w:r>
            <w:r w:rsidRPr="002432EA">
              <w:rPr>
                <w:sz w:val="20"/>
                <w:lang w:val="fr-FR"/>
              </w:rPr>
              <w:t xml:space="preserve"> .................................................... </w:t>
            </w:r>
            <w:r w:rsidRPr="002432EA">
              <w:rPr>
                <w:sz w:val="20"/>
                <w:lang w:val="fr-FR"/>
              </w:rPr>
              <w:t>et</w:t>
            </w:r>
            <w:r w:rsidRPr="002432EA">
              <w:rPr>
                <w:sz w:val="20"/>
                <w:lang w:val="fr-FR"/>
              </w:rPr>
              <w:t xml:space="preserve">, </w:t>
            </w:r>
            <w:r w:rsidRPr="002432EA">
              <w:rPr>
                <w:sz w:val="20"/>
                <w:lang w:val="fr-FR"/>
              </w:rPr>
              <w:t>sous réserve de ce qui est indiqué au</w:t>
            </w:r>
            <w:r w:rsidRPr="002432EA">
              <w:rPr>
                <w:sz w:val="20"/>
                <w:lang w:val="fr-FR"/>
              </w:rPr>
              <w:t xml:space="preserve"> paragraph</w:t>
            </w:r>
            <w:r w:rsidRPr="002432EA">
              <w:rPr>
                <w:sz w:val="20"/>
                <w:lang w:val="fr-FR"/>
              </w:rPr>
              <w:t>e</w:t>
            </w:r>
            <w:r w:rsidRPr="002432EA">
              <w:rPr>
                <w:sz w:val="20"/>
                <w:lang w:val="fr-FR"/>
              </w:rPr>
              <w:t xml:space="preserve"> 2 </w:t>
            </w:r>
            <w:r w:rsidRPr="002432EA">
              <w:rPr>
                <w:sz w:val="20"/>
                <w:lang w:val="fr-FR"/>
              </w:rPr>
              <w:t>ci-après</w:t>
            </w:r>
            <w:r w:rsidRPr="002432EA">
              <w:rPr>
                <w:sz w:val="20"/>
                <w:lang w:val="fr-FR"/>
              </w:rPr>
              <w:t xml:space="preserve">, </w:t>
            </w:r>
            <w:r w:rsidRPr="002432EA">
              <w:rPr>
                <w:sz w:val="20"/>
                <w:lang w:val="fr-FR"/>
              </w:rPr>
              <w:t xml:space="preserve">étant garanti de bénéficier des mêmes </w:t>
            </w:r>
            <w:r w:rsidRPr="002432EA">
              <w:rPr>
                <w:sz w:val="20"/>
                <w:lang w:val="fr-FR"/>
              </w:rPr>
              <w:t>term</w:t>
            </w:r>
            <w:r w:rsidRPr="002432EA">
              <w:rPr>
                <w:sz w:val="20"/>
                <w:lang w:val="fr-FR"/>
              </w:rPr>
              <w:t>e</w:t>
            </w:r>
            <w:r w:rsidRPr="002432EA">
              <w:rPr>
                <w:sz w:val="20"/>
                <w:lang w:val="fr-FR"/>
              </w:rPr>
              <w:t>s</w:t>
            </w:r>
            <w:r w:rsidRPr="002432EA">
              <w:rPr>
                <w:sz w:val="20"/>
                <w:lang w:val="fr-FR"/>
              </w:rPr>
              <w:t>,</w:t>
            </w:r>
            <w:r w:rsidRPr="002432EA">
              <w:rPr>
                <w:sz w:val="20"/>
                <w:lang w:val="fr-FR"/>
              </w:rPr>
              <w:t xml:space="preserve"> conditions </w:t>
            </w:r>
            <w:r w:rsidRPr="002432EA">
              <w:rPr>
                <w:sz w:val="20"/>
                <w:lang w:val="fr-FR"/>
              </w:rPr>
              <w:t>et taux bruts que ceux agréés à la prise d’effet du Contrat par ladite Société</w:t>
            </w:r>
            <w:r w:rsidRPr="002432EA">
              <w:rPr>
                <w:sz w:val="20"/>
                <w:lang w:val="fr-FR"/>
              </w:rPr>
              <w:t xml:space="preserve">, </w:t>
            </w:r>
            <w:r>
              <w:rPr>
                <w:sz w:val="20"/>
                <w:lang w:val="fr-FR"/>
              </w:rPr>
              <w:t xml:space="preserve">ainsi que du fait que la Société conserve pendant l’intégralité de la durée du </w:t>
            </w:r>
            <w:r w:rsidR="001B394D">
              <w:rPr>
                <w:sz w:val="20"/>
                <w:lang w:val="fr-FR"/>
              </w:rPr>
              <w:t xml:space="preserve">présent </w:t>
            </w:r>
            <w:r>
              <w:rPr>
                <w:sz w:val="20"/>
                <w:lang w:val="fr-FR"/>
              </w:rPr>
              <w:t xml:space="preserve">Contrat </w:t>
            </w:r>
            <w:r w:rsidR="001B394D">
              <w:rPr>
                <w:sz w:val="20"/>
                <w:lang w:val="fr-FR"/>
              </w:rPr>
              <w:t xml:space="preserve">une participation d’au moins </w:t>
            </w:r>
            <w:r w:rsidRPr="002432EA">
              <w:rPr>
                <w:sz w:val="20"/>
                <w:lang w:val="fr-FR"/>
              </w:rPr>
              <w:t xml:space="preserve">.................................... </w:t>
            </w:r>
            <w:r w:rsidR="001B394D">
              <w:rPr>
                <w:sz w:val="20"/>
                <w:lang w:val="fr-FR"/>
              </w:rPr>
              <w:t>sur le même risque couverts selon des garanties identiques ainsi que la même proportion de toute partie considérée séparément</w:t>
            </w:r>
            <w:r w:rsidRPr="002432EA">
              <w:rPr>
                <w:sz w:val="20"/>
                <w:lang w:val="fr-FR"/>
              </w:rPr>
              <w:t xml:space="preserve">, </w:t>
            </w:r>
            <w:r w:rsidR="001B394D">
              <w:rPr>
                <w:sz w:val="20"/>
                <w:lang w:val="fr-FR"/>
              </w:rPr>
              <w:t xml:space="preserve">et sachant que </w:t>
            </w:r>
            <w:r w:rsidR="00915183">
              <w:rPr>
                <w:sz w:val="20"/>
                <w:lang w:val="fr-FR"/>
              </w:rPr>
              <w:t xml:space="preserve">dans </w:t>
            </w:r>
            <w:bookmarkStart w:id="0" w:name="_GoBack"/>
            <w:bookmarkEnd w:id="0"/>
            <w:r w:rsidR="001B394D">
              <w:rPr>
                <w:sz w:val="20"/>
                <w:lang w:val="fr-FR"/>
              </w:rPr>
              <w:t>le cas où la participation conservée viendrait à être moindre que celle indiquée ci-dessus, les montants pris en charge par les Réassureurs seraient réduits proportionnellement d’autant,</w:t>
            </w:r>
          </w:p>
        </w:tc>
      </w:tr>
      <w:tr w:rsidR="002432EA" w:rsidTr="009B05EE">
        <w:tc>
          <w:tcPr>
            <w:tcW w:w="6912" w:type="dxa"/>
          </w:tcPr>
          <w:p w:rsidR="002432EA" w:rsidRDefault="002432EA" w:rsidP="002432EA">
            <w:pPr>
              <w:pStyle w:val="Text05"/>
              <w:ind w:left="567" w:hanging="567"/>
              <w:rPr>
                <w:sz w:val="20"/>
              </w:rPr>
            </w:pPr>
            <w:r>
              <w:rPr>
                <w:sz w:val="20"/>
              </w:rPr>
              <w:t>2.</w:t>
            </w:r>
            <w:r>
              <w:rPr>
                <w:sz w:val="20"/>
              </w:rPr>
              <w:tab/>
              <w:t>Subject to the foregoing, it is a condition precedent to any liability under this Reinsurance that:</w:t>
            </w:r>
          </w:p>
          <w:p w:rsidR="002432EA" w:rsidRDefault="002432EA" w:rsidP="002432EA">
            <w:pPr>
              <w:pStyle w:val="Text05"/>
              <w:tabs>
                <w:tab w:val="clear" w:pos="568"/>
              </w:tabs>
              <w:ind w:left="1134" w:hanging="567"/>
              <w:rPr>
                <w:sz w:val="20"/>
              </w:rPr>
            </w:pPr>
            <w:r>
              <w:rPr>
                <w:sz w:val="20"/>
              </w:rPr>
              <w:t>(a)</w:t>
            </w:r>
            <w:r>
              <w:rPr>
                <w:sz w:val="20"/>
              </w:rPr>
              <w:tab/>
              <w:t>no amendment to the terms or conditions or additions to or deletions from the original policy shall be binding upon Reinsurers hereon unless prior agreement has been obtained from the said Reinsurers;</w:t>
            </w:r>
          </w:p>
          <w:p w:rsidR="002432EA" w:rsidRDefault="002432EA" w:rsidP="002432EA">
            <w:pPr>
              <w:pStyle w:val="Text05"/>
              <w:tabs>
                <w:tab w:val="clear" w:pos="568"/>
              </w:tabs>
              <w:ind w:left="1134" w:hanging="567"/>
              <w:rPr>
                <w:sz w:val="20"/>
              </w:rPr>
            </w:pPr>
            <w:r>
              <w:rPr>
                <w:sz w:val="20"/>
              </w:rPr>
              <w:t>(b)</w:t>
            </w:r>
            <w:r>
              <w:rPr>
                <w:sz w:val="20"/>
              </w:rPr>
              <w:tab/>
              <w:t>the Reinsured shall upon knowledge of any loss or losses which may give rise to a claim under this Policy, advise the Reinsurers within 72 hours;</w:t>
            </w:r>
          </w:p>
          <w:p w:rsidR="002432EA" w:rsidRPr="002432EA" w:rsidRDefault="002432EA" w:rsidP="002432EA">
            <w:pPr>
              <w:pStyle w:val="Text05"/>
              <w:tabs>
                <w:tab w:val="clear" w:pos="568"/>
              </w:tabs>
              <w:ind w:left="1134" w:hanging="567"/>
              <w:rPr>
                <w:sz w:val="20"/>
              </w:rPr>
            </w:pPr>
            <w:r>
              <w:rPr>
                <w:sz w:val="20"/>
              </w:rPr>
              <w:t>(c)</w:t>
            </w:r>
            <w:r>
              <w:rPr>
                <w:sz w:val="20"/>
              </w:rPr>
              <w:tab/>
            </w:r>
            <w:proofErr w:type="gramStart"/>
            <w:r>
              <w:rPr>
                <w:sz w:val="20"/>
              </w:rPr>
              <w:t>the</w:t>
            </w:r>
            <w:proofErr w:type="gramEnd"/>
            <w:r>
              <w:rPr>
                <w:sz w:val="20"/>
              </w:rPr>
              <w:t xml:space="preserve"> Reassured shall furnish the Reinsurers with all information available respecting such loss or losses, and the Reinsurers shall have the sole right to appoint adjusters, assessors, surveyors and/or lawyers and to control all negotiations, adjustments and settlements in conne</w:t>
            </w:r>
            <w:r>
              <w:rPr>
                <w:sz w:val="20"/>
              </w:rPr>
              <w:t>ction with such loss or losses.</w:t>
            </w:r>
          </w:p>
        </w:tc>
        <w:tc>
          <w:tcPr>
            <w:tcW w:w="7874" w:type="dxa"/>
          </w:tcPr>
          <w:p w:rsidR="002432EA" w:rsidRPr="002432EA" w:rsidRDefault="002432EA" w:rsidP="00ED2ECC">
            <w:pPr>
              <w:pStyle w:val="Text05"/>
              <w:ind w:left="567" w:hanging="567"/>
              <w:rPr>
                <w:sz w:val="20"/>
                <w:lang w:val="fr-FR"/>
              </w:rPr>
            </w:pPr>
            <w:r w:rsidRPr="002432EA">
              <w:rPr>
                <w:sz w:val="20"/>
                <w:lang w:val="fr-FR"/>
              </w:rPr>
              <w:t>2.</w:t>
            </w:r>
            <w:r w:rsidRPr="002432EA">
              <w:rPr>
                <w:sz w:val="20"/>
                <w:lang w:val="fr-FR"/>
              </w:rPr>
              <w:tab/>
            </w:r>
            <w:r w:rsidR="001B394D">
              <w:rPr>
                <w:sz w:val="20"/>
                <w:lang w:val="fr-FR"/>
              </w:rPr>
              <w:t xml:space="preserve">Sous réserve de ce qui précède, il est impératif pour que la présente Réassurance </w:t>
            </w:r>
            <w:r w:rsidR="009B05EE">
              <w:rPr>
                <w:sz w:val="20"/>
                <w:lang w:val="fr-FR"/>
              </w:rPr>
              <w:t xml:space="preserve">intervienne que les conditions suivantes soient respectées </w:t>
            </w:r>
            <w:r w:rsidRPr="002432EA">
              <w:rPr>
                <w:sz w:val="20"/>
                <w:lang w:val="fr-FR"/>
              </w:rPr>
              <w:t>:</w:t>
            </w:r>
          </w:p>
          <w:p w:rsidR="002432EA" w:rsidRPr="002432EA" w:rsidRDefault="002432EA" w:rsidP="00ED2ECC">
            <w:pPr>
              <w:pStyle w:val="Text05"/>
              <w:tabs>
                <w:tab w:val="clear" w:pos="568"/>
              </w:tabs>
              <w:ind w:left="1134" w:hanging="567"/>
              <w:rPr>
                <w:sz w:val="20"/>
                <w:lang w:val="fr-FR"/>
              </w:rPr>
            </w:pPr>
            <w:r w:rsidRPr="002432EA">
              <w:rPr>
                <w:sz w:val="20"/>
                <w:lang w:val="fr-FR"/>
              </w:rPr>
              <w:t>(a)</w:t>
            </w:r>
            <w:r w:rsidRPr="002432EA">
              <w:rPr>
                <w:sz w:val="20"/>
                <w:lang w:val="fr-FR"/>
              </w:rPr>
              <w:tab/>
            </w:r>
            <w:r w:rsidR="009B05EE">
              <w:rPr>
                <w:sz w:val="20"/>
                <w:lang w:val="fr-FR"/>
              </w:rPr>
              <w:t xml:space="preserve">aucune modification des termes ou des conditions et aucune addition ou suppression dans la police originale n’engage les Réassureurs sauf à avoir été préalablement agréée par les dits Réassureurs </w:t>
            </w:r>
            <w:r w:rsidRPr="002432EA">
              <w:rPr>
                <w:sz w:val="20"/>
                <w:lang w:val="fr-FR"/>
              </w:rPr>
              <w:t>;</w:t>
            </w:r>
          </w:p>
          <w:p w:rsidR="002432EA" w:rsidRPr="002432EA" w:rsidRDefault="002432EA" w:rsidP="00ED2ECC">
            <w:pPr>
              <w:pStyle w:val="Text05"/>
              <w:tabs>
                <w:tab w:val="clear" w:pos="568"/>
              </w:tabs>
              <w:ind w:left="1134" w:hanging="567"/>
              <w:rPr>
                <w:sz w:val="20"/>
                <w:lang w:val="fr-FR"/>
              </w:rPr>
            </w:pPr>
            <w:r w:rsidRPr="002432EA">
              <w:rPr>
                <w:sz w:val="20"/>
                <w:lang w:val="fr-FR"/>
              </w:rPr>
              <w:t>(b)</w:t>
            </w:r>
            <w:r w:rsidRPr="002432EA">
              <w:rPr>
                <w:sz w:val="20"/>
                <w:lang w:val="fr-FR"/>
              </w:rPr>
              <w:tab/>
            </w:r>
            <w:r w:rsidR="009B05EE">
              <w:rPr>
                <w:sz w:val="20"/>
                <w:lang w:val="fr-FR"/>
              </w:rPr>
              <w:t>le Réassuré doit, dès qu’il a connaissance de tout évènement susceptible de donner lieu à sinistre au titre du présent Contrat</w:t>
            </w:r>
            <w:r w:rsidRPr="002432EA">
              <w:rPr>
                <w:sz w:val="20"/>
                <w:lang w:val="fr-FR"/>
              </w:rPr>
              <w:t xml:space="preserve">, </w:t>
            </w:r>
            <w:r w:rsidR="009B05EE">
              <w:rPr>
                <w:sz w:val="20"/>
                <w:lang w:val="fr-FR"/>
              </w:rPr>
              <w:t>informer les Réassureurs dans les soixante-douze (</w:t>
            </w:r>
            <w:r w:rsidRPr="002432EA">
              <w:rPr>
                <w:sz w:val="20"/>
                <w:lang w:val="fr-FR"/>
              </w:rPr>
              <w:t>72</w:t>
            </w:r>
            <w:r w:rsidR="009B05EE">
              <w:rPr>
                <w:sz w:val="20"/>
                <w:lang w:val="fr-FR"/>
              </w:rPr>
              <w:t>)</w:t>
            </w:r>
            <w:r w:rsidRPr="002432EA">
              <w:rPr>
                <w:sz w:val="20"/>
                <w:lang w:val="fr-FR"/>
              </w:rPr>
              <w:t xml:space="preserve"> h</w:t>
            </w:r>
            <w:r w:rsidR="009B05EE">
              <w:rPr>
                <w:sz w:val="20"/>
                <w:lang w:val="fr-FR"/>
              </w:rPr>
              <w:t>e</w:t>
            </w:r>
            <w:r w:rsidRPr="002432EA">
              <w:rPr>
                <w:sz w:val="20"/>
                <w:lang w:val="fr-FR"/>
              </w:rPr>
              <w:t>ur</w:t>
            </w:r>
            <w:r w:rsidR="009B05EE">
              <w:rPr>
                <w:sz w:val="20"/>
                <w:lang w:val="fr-FR"/>
              </w:rPr>
              <w:t>e</w:t>
            </w:r>
            <w:r w:rsidRPr="002432EA">
              <w:rPr>
                <w:sz w:val="20"/>
                <w:lang w:val="fr-FR"/>
              </w:rPr>
              <w:t>s</w:t>
            </w:r>
            <w:r w:rsidR="009B05EE">
              <w:rPr>
                <w:sz w:val="20"/>
                <w:lang w:val="fr-FR"/>
              </w:rPr>
              <w:t xml:space="preserve"> </w:t>
            </w:r>
            <w:r w:rsidRPr="002432EA">
              <w:rPr>
                <w:sz w:val="20"/>
                <w:lang w:val="fr-FR"/>
              </w:rPr>
              <w:t>;</w:t>
            </w:r>
          </w:p>
          <w:p w:rsidR="002432EA" w:rsidRPr="002432EA" w:rsidRDefault="002432EA" w:rsidP="009B05EE">
            <w:pPr>
              <w:pStyle w:val="Text05"/>
              <w:tabs>
                <w:tab w:val="clear" w:pos="568"/>
              </w:tabs>
              <w:ind w:left="1134" w:hanging="567"/>
              <w:rPr>
                <w:sz w:val="20"/>
                <w:lang w:val="fr-FR"/>
              </w:rPr>
            </w:pPr>
            <w:r w:rsidRPr="002432EA">
              <w:rPr>
                <w:sz w:val="20"/>
                <w:lang w:val="fr-FR"/>
              </w:rPr>
              <w:t>(c)</w:t>
            </w:r>
            <w:r w:rsidRPr="002432EA">
              <w:rPr>
                <w:sz w:val="20"/>
                <w:lang w:val="fr-FR"/>
              </w:rPr>
              <w:tab/>
            </w:r>
            <w:r w:rsidR="009B05EE">
              <w:rPr>
                <w:sz w:val="20"/>
                <w:lang w:val="fr-FR"/>
              </w:rPr>
              <w:t>le Réassuré doit fournir aux Réassureurs toute information disponible en lien avec cet évènement</w:t>
            </w:r>
            <w:r w:rsidRPr="002432EA">
              <w:rPr>
                <w:sz w:val="20"/>
                <w:lang w:val="fr-FR"/>
              </w:rPr>
              <w:t xml:space="preserve">, </w:t>
            </w:r>
            <w:r w:rsidR="009B05EE">
              <w:rPr>
                <w:sz w:val="20"/>
                <w:lang w:val="fr-FR"/>
              </w:rPr>
              <w:t>et les Réassureurs ont seuls le droit de nommer des experts et/ou des avocats ainsi que de prendre la direction de toute négociation, toute transaction et tout règlement en relation avec cet évènement</w:t>
            </w:r>
            <w:r w:rsidRPr="002432EA">
              <w:rPr>
                <w:sz w:val="20"/>
                <w:lang w:val="fr-FR"/>
              </w:rPr>
              <w:t>.</w:t>
            </w:r>
          </w:p>
        </w:tc>
      </w:tr>
      <w:tr w:rsidR="002432EA" w:rsidTr="009B05EE">
        <w:tc>
          <w:tcPr>
            <w:tcW w:w="6912" w:type="dxa"/>
          </w:tcPr>
          <w:p w:rsidR="002432EA" w:rsidRDefault="002432EA" w:rsidP="002432EA">
            <w:pPr>
              <w:keepLines/>
              <w:tabs>
                <w:tab w:val="left" w:pos="432"/>
                <w:tab w:val="left" w:pos="1152"/>
                <w:tab w:val="left" w:pos="1728"/>
                <w:tab w:val="left" w:pos="2304"/>
                <w:tab w:val="left" w:pos="2880"/>
                <w:tab w:val="left" w:pos="3456"/>
                <w:tab w:val="left" w:pos="4032"/>
                <w:tab w:val="left" w:pos="4752"/>
                <w:tab w:val="left" w:pos="5328"/>
                <w:tab w:val="left" w:pos="5904"/>
                <w:tab w:val="left" w:pos="6480"/>
                <w:tab w:val="left" w:pos="7056"/>
                <w:tab w:val="left" w:pos="7632"/>
                <w:tab w:val="left" w:pos="8352"/>
                <w:tab w:val="left" w:pos="8928"/>
              </w:tabs>
              <w:rPr>
                <w:rFonts w:ascii="Times New Roman" w:hAnsi="Times New Roman" w:cs="Times New Roman"/>
                <w:b/>
              </w:rPr>
            </w:pPr>
            <w:r>
              <w:rPr>
                <w:rFonts w:ascii="Times New Roman" w:hAnsi="Times New Roman" w:cs="Times New Roman"/>
                <w:b/>
              </w:rPr>
              <w:t>AVN 41</w:t>
            </w:r>
          </w:p>
          <w:p w:rsidR="002432EA" w:rsidRDefault="002432EA" w:rsidP="002432EA">
            <w:pPr>
              <w:keepLines/>
              <w:tabs>
                <w:tab w:val="left" w:pos="432"/>
                <w:tab w:val="left" w:pos="1152"/>
                <w:tab w:val="left" w:pos="1728"/>
                <w:tab w:val="left" w:pos="2304"/>
                <w:tab w:val="left" w:pos="2880"/>
                <w:tab w:val="left" w:pos="3456"/>
                <w:tab w:val="left" w:pos="4032"/>
                <w:tab w:val="left" w:pos="4752"/>
                <w:tab w:val="left" w:pos="5328"/>
                <w:tab w:val="left" w:pos="5904"/>
                <w:tab w:val="left" w:pos="6480"/>
                <w:tab w:val="left" w:pos="7056"/>
                <w:tab w:val="left" w:pos="7632"/>
                <w:tab w:val="left" w:pos="8352"/>
                <w:tab w:val="left" w:pos="8928"/>
              </w:tabs>
              <w:rPr>
                <w:b/>
                <w:sz w:val="20"/>
              </w:rPr>
            </w:pPr>
            <w:r>
              <w:rPr>
                <w:rFonts w:ascii="Times New Roman" w:hAnsi="Times New Roman" w:cs="Times New Roman"/>
                <w:b/>
              </w:rPr>
              <w:t>1.10.96</w:t>
            </w:r>
          </w:p>
        </w:tc>
        <w:tc>
          <w:tcPr>
            <w:tcW w:w="7874" w:type="dxa"/>
          </w:tcPr>
          <w:p w:rsidR="002432EA" w:rsidRDefault="002432EA" w:rsidP="002432EA">
            <w:pPr>
              <w:keepLines/>
              <w:tabs>
                <w:tab w:val="left" w:pos="432"/>
                <w:tab w:val="left" w:pos="1152"/>
                <w:tab w:val="left" w:pos="1728"/>
                <w:tab w:val="left" w:pos="2304"/>
                <w:tab w:val="left" w:pos="2880"/>
                <w:tab w:val="left" w:pos="3456"/>
                <w:tab w:val="left" w:pos="4032"/>
                <w:tab w:val="left" w:pos="4752"/>
                <w:tab w:val="left" w:pos="5328"/>
                <w:tab w:val="left" w:pos="5904"/>
                <w:tab w:val="left" w:pos="6480"/>
                <w:tab w:val="left" w:pos="7056"/>
                <w:tab w:val="left" w:pos="7632"/>
                <w:tab w:val="left" w:pos="8352"/>
                <w:tab w:val="left" w:pos="8928"/>
              </w:tabs>
              <w:rPr>
                <w:rFonts w:ascii="Times New Roman" w:hAnsi="Times New Roman" w:cs="Times New Roman"/>
                <w:b/>
              </w:rPr>
            </w:pPr>
            <w:r>
              <w:rPr>
                <w:rFonts w:ascii="Times New Roman" w:hAnsi="Times New Roman" w:cs="Times New Roman"/>
                <w:b/>
              </w:rPr>
              <w:t>AVN 41</w:t>
            </w:r>
          </w:p>
          <w:p w:rsidR="002432EA" w:rsidRDefault="002432EA" w:rsidP="002432EA">
            <w:pPr>
              <w:keepLines/>
              <w:tabs>
                <w:tab w:val="left" w:pos="432"/>
                <w:tab w:val="left" w:pos="1152"/>
                <w:tab w:val="left" w:pos="1728"/>
                <w:tab w:val="left" w:pos="2304"/>
                <w:tab w:val="left" w:pos="2880"/>
                <w:tab w:val="left" w:pos="3456"/>
                <w:tab w:val="left" w:pos="4032"/>
                <w:tab w:val="left" w:pos="4752"/>
                <w:tab w:val="left" w:pos="5328"/>
                <w:tab w:val="left" w:pos="5904"/>
                <w:tab w:val="left" w:pos="6480"/>
                <w:tab w:val="left" w:pos="7056"/>
                <w:tab w:val="left" w:pos="7632"/>
                <w:tab w:val="left" w:pos="8352"/>
                <w:tab w:val="left" w:pos="8928"/>
              </w:tabs>
              <w:rPr>
                <w:rFonts w:ascii="Times New Roman" w:hAnsi="Times New Roman" w:cs="Times New Roman"/>
                <w:b/>
              </w:rPr>
            </w:pPr>
            <w:r>
              <w:rPr>
                <w:rFonts w:ascii="Times New Roman" w:hAnsi="Times New Roman" w:cs="Times New Roman"/>
                <w:b/>
              </w:rPr>
              <w:t>1.10.96</w:t>
            </w:r>
          </w:p>
          <w:p w:rsidR="002432EA" w:rsidRDefault="002432EA" w:rsidP="002432EA">
            <w:pPr>
              <w:keepLines/>
              <w:tabs>
                <w:tab w:val="left" w:pos="432"/>
                <w:tab w:val="left" w:pos="1152"/>
                <w:tab w:val="left" w:pos="1728"/>
                <w:tab w:val="left" w:pos="2304"/>
                <w:tab w:val="left" w:pos="2880"/>
                <w:tab w:val="left" w:pos="3456"/>
                <w:tab w:val="left" w:pos="4032"/>
                <w:tab w:val="left" w:pos="4752"/>
                <w:tab w:val="left" w:pos="5328"/>
                <w:tab w:val="left" w:pos="5904"/>
                <w:tab w:val="left" w:pos="6480"/>
                <w:tab w:val="left" w:pos="7056"/>
                <w:tab w:val="left" w:pos="7632"/>
                <w:tab w:val="left" w:pos="8352"/>
                <w:tab w:val="left" w:pos="8928"/>
              </w:tabs>
              <w:rPr>
                <w:b/>
                <w:sz w:val="20"/>
              </w:rPr>
            </w:pPr>
            <w:proofErr w:type="spellStart"/>
            <w:r>
              <w:rPr>
                <w:rFonts w:ascii="Times New Roman" w:hAnsi="Times New Roman" w:cs="Times New Roman"/>
                <w:b/>
              </w:rPr>
              <w:t>Traduction</w:t>
            </w:r>
            <w:proofErr w:type="spellEnd"/>
            <w:r>
              <w:rPr>
                <w:rFonts w:ascii="Times New Roman" w:hAnsi="Times New Roman" w:cs="Times New Roman"/>
                <w:b/>
              </w:rPr>
              <w:t xml:space="preserve"> Global Aerospace 09.02.12</w:t>
            </w:r>
          </w:p>
        </w:tc>
      </w:tr>
    </w:tbl>
    <w:p w:rsidR="002432EA" w:rsidRDefault="002432EA">
      <w:pPr>
        <w:pStyle w:val="Text0"/>
        <w:jc w:val="center"/>
        <w:rPr>
          <w:b/>
          <w:sz w:val="20"/>
        </w:rPr>
      </w:pPr>
    </w:p>
    <w:p w:rsidR="00000000" w:rsidRDefault="00E233EE">
      <w:pPr>
        <w:pStyle w:val="Text05"/>
        <w:ind w:left="567" w:hanging="567"/>
        <w:rPr>
          <w:sz w:val="20"/>
        </w:rPr>
      </w:pPr>
    </w:p>
    <w:p w:rsidR="00000000" w:rsidRDefault="00E233EE">
      <w:pPr>
        <w:keepLines/>
        <w:tabs>
          <w:tab w:val="left" w:pos="432"/>
          <w:tab w:val="left" w:pos="1152"/>
          <w:tab w:val="left" w:pos="1728"/>
          <w:tab w:val="left" w:pos="2304"/>
          <w:tab w:val="left" w:pos="2880"/>
          <w:tab w:val="left" w:pos="3456"/>
          <w:tab w:val="left" w:pos="4032"/>
          <w:tab w:val="left" w:pos="4752"/>
          <w:tab w:val="left" w:pos="5328"/>
          <w:tab w:val="left" w:pos="5904"/>
          <w:tab w:val="left" w:pos="6480"/>
          <w:tab w:val="left" w:pos="7056"/>
          <w:tab w:val="left" w:pos="7632"/>
          <w:tab w:val="left" w:pos="8352"/>
          <w:tab w:val="left" w:pos="8928"/>
        </w:tabs>
        <w:rPr>
          <w:rFonts w:ascii="Times New Roman" w:hAnsi="Times New Roman" w:cs="Times New Roman"/>
          <w:b/>
        </w:rPr>
      </w:pPr>
    </w:p>
    <w:p w:rsidR="00E233EE" w:rsidRDefault="00E233EE"/>
    <w:sectPr w:rsidR="00E233EE" w:rsidSect="002432EA">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77"/>
    <w:rsid w:val="001B394D"/>
    <w:rsid w:val="002432EA"/>
    <w:rsid w:val="00915183"/>
    <w:rsid w:val="009B05EE"/>
    <w:rsid w:val="00DF3FAE"/>
    <w:rsid w:val="00E12077"/>
    <w:rsid w:val="00E233EE"/>
    <w:rsid w:val="00F2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243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2EA"/>
    <w:rPr>
      <w:rFonts w:ascii="Tahoma" w:hAnsi="Tahoma" w:cs="Tahoma"/>
      <w:sz w:val="16"/>
      <w:szCs w:val="16"/>
    </w:rPr>
  </w:style>
  <w:style w:type="character" w:customStyle="1" w:styleId="BalloonTextChar">
    <w:name w:val="Balloon Text Char"/>
    <w:basedOn w:val="DefaultParagraphFont"/>
    <w:link w:val="BalloonText"/>
    <w:uiPriority w:val="99"/>
    <w:semiHidden/>
    <w:rsid w:val="002432EA"/>
    <w:rPr>
      <w:rFonts w:ascii="Tahoma" w:hAnsi="Tahoma" w:cs="Tahoma"/>
      <w:bCs/>
      <w:kern w:val="3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243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2EA"/>
    <w:rPr>
      <w:rFonts w:ascii="Tahoma" w:hAnsi="Tahoma" w:cs="Tahoma"/>
      <w:sz w:val="16"/>
      <w:szCs w:val="16"/>
    </w:rPr>
  </w:style>
  <w:style w:type="character" w:customStyle="1" w:styleId="BalloonTextChar">
    <w:name w:val="Balloon Text Char"/>
    <w:basedOn w:val="DefaultParagraphFont"/>
    <w:link w:val="BalloonText"/>
    <w:uiPriority w:val="99"/>
    <w:semiHidden/>
    <w:rsid w:val="002432EA"/>
    <w:rPr>
      <w:rFonts w:ascii="Tahoma" w:hAnsi="Tahoma" w:cs="Tahoma"/>
      <w:bCs/>
      <w:kern w:val="3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C2E6E-EC52-4EB8-A54C-A483EAF2E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232075-7854-44E3-8540-37BF30E78D92}">
  <ds:schemaRefs>
    <ds:schemaRef ds:uri="http://schemas.microsoft.com/sharepoint/v3/contenttype/forms"/>
  </ds:schemaRefs>
</ds:datastoreItem>
</file>

<file path=customXml/itemProps3.xml><?xml version="1.0" encoding="utf-8"?>
<ds:datastoreItem xmlns:ds="http://schemas.openxmlformats.org/officeDocument/2006/customXml" ds:itemID="{C2DA80BB-2C42-4326-B853-CE3D8385B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REINSURANCE UNDERWRITING &amp; CLAIMS CONTROL CLAUSE</vt:lpstr>
    </vt:vector>
  </TitlesOfParts>
  <Company>BAIG</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REINSURANCE UNDERWRITING &amp; CLAIMS CONTROL CLAUSE</dc:title>
  <dc:creator>SLeeds</dc:creator>
  <cp:lastModifiedBy>jfournier</cp:lastModifiedBy>
  <cp:revision>3</cp:revision>
  <dcterms:created xsi:type="dcterms:W3CDTF">2012-02-09T08:27:00Z</dcterms:created>
  <dcterms:modified xsi:type="dcterms:W3CDTF">2012-02-09T09:10:00Z</dcterms:modified>
</cp:coreProperties>
</file>