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15134" w:type="dxa"/>
        <w:tblLayout w:type="fixed"/>
        <w:tblLook w:val="04A0" w:firstRow="1" w:lastRow="0" w:firstColumn="1" w:lastColumn="0" w:noHBand="0" w:noVBand="1"/>
      </w:tblPr>
      <w:tblGrid>
        <w:gridCol w:w="7196"/>
        <w:gridCol w:w="7938"/>
      </w:tblGrid>
      <w:tr w:rsidR="00A51FAB" w:rsidRPr="00CD78AB" w14:paraId="179A7572" w14:textId="77777777" w:rsidTr="005F0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0FC6E8DC" w14:textId="77777777" w:rsidR="00A51FAB" w:rsidRPr="00CD78AB" w:rsidRDefault="00A51FAB" w:rsidP="00ED5D2B">
            <w:pPr>
              <w:pStyle w:val="firstline"/>
              <w:tabs>
                <w:tab w:val="right" w:leader="dot" w:pos="8732"/>
              </w:tabs>
              <w:spacing w:line="240" w:lineRule="auto"/>
              <w:jc w:val="center"/>
              <w:rPr>
                <w:rFonts w:ascii="Times New Roman" w:hAnsi="Times New Roman"/>
                <w:b w:val="0"/>
                <w:sz w:val="22"/>
              </w:rPr>
            </w:pPr>
            <w:r w:rsidRPr="00CD78AB">
              <w:rPr>
                <w:rFonts w:ascii="Times New Roman" w:hAnsi="Times New Roman"/>
                <w:sz w:val="22"/>
              </w:rPr>
              <w:t>ADDITIONAL INSURED(S) ENDORSEMENT</w:t>
            </w:r>
          </w:p>
        </w:tc>
        <w:tc>
          <w:tcPr>
            <w:tcW w:w="7938" w:type="dxa"/>
          </w:tcPr>
          <w:p w14:paraId="5CDFFA84" w14:textId="77777777" w:rsidR="00A51FAB" w:rsidRPr="00CD78AB" w:rsidRDefault="00A51FAB" w:rsidP="00ED5D2B">
            <w:pPr>
              <w:jc w:val="center"/>
              <w:cnfStyle w:val="100000000000" w:firstRow="1" w:lastRow="0" w:firstColumn="0" w:lastColumn="0" w:oddVBand="0" w:evenVBand="0" w:oddHBand="0" w:evenHBand="0" w:firstRowFirstColumn="0" w:firstRowLastColumn="0" w:lastRowFirstColumn="0" w:lastRowLastColumn="0"/>
              <w:rPr>
                <w:b w:val="0"/>
                <w:sz w:val="22"/>
                <w:lang w:val="fr-FR"/>
              </w:rPr>
            </w:pPr>
            <w:r w:rsidRPr="00CD78AB">
              <w:rPr>
                <w:sz w:val="22"/>
                <w:lang w:val="fr-FR"/>
              </w:rPr>
              <w:t>AVENANT ASSURE ADDITIONNEL</w:t>
            </w:r>
          </w:p>
        </w:tc>
      </w:tr>
      <w:tr w:rsidR="00A51FAB" w:rsidRPr="0098098E" w14:paraId="3387FB07" w14:textId="77777777" w:rsidTr="005F0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1B984193" w14:textId="77777777" w:rsidR="00A51FAB" w:rsidRPr="00ED5D2B" w:rsidRDefault="00A51FAB" w:rsidP="00CD78AB">
            <w:r>
              <w:t xml:space="preserve">It is hereby understood and agreed that </w:t>
            </w:r>
            <w:r>
              <w:tab/>
            </w:r>
          </w:p>
        </w:tc>
        <w:tc>
          <w:tcPr>
            <w:tcW w:w="7938" w:type="dxa"/>
          </w:tcPr>
          <w:p w14:paraId="3B186FDB" w14:textId="77777777" w:rsidR="00A51FAB" w:rsidRPr="00ED5D2B" w:rsidRDefault="00A51FAB" w:rsidP="00CD78AB">
            <w:pPr>
              <w:cnfStyle w:val="000000100000" w:firstRow="0" w:lastRow="0" w:firstColumn="0" w:lastColumn="0" w:oddVBand="0" w:evenVBand="0" w:oddHBand="1" w:evenHBand="0" w:firstRowFirstColumn="0" w:firstRowLastColumn="0" w:lastRowFirstColumn="0" w:lastRowLastColumn="0"/>
              <w:rPr>
                <w:rFonts w:ascii="NewCenturySchool" w:hAnsi="NewCenturySchool"/>
                <w:lang w:val="fr-FR"/>
              </w:rPr>
            </w:pPr>
            <w:r w:rsidRPr="0098098E">
              <w:rPr>
                <w:rFonts w:ascii="NewCenturySchool" w:hAnsi="NewCenturySchool"/>
                <w:lang w:val="fr-FR"/>
              </w:rPr>
              <w:t xml:space="preserve">Il est entendu et convenu que </w:t>
            </w:r>
            <w:r w:rsidRPr="0098098E">
              <w:rPr>
                <w:rFonts w:ascii="NewCenturySchool" w:hAnsi="NewCenturySchool"/>
                <w:lang w:val="fr-FR"/>
              </w:rPr>
              <w:tab/>
            </w:r>
          </w:p>
        </w:tc>
      </w:tr>
      <w:tr w:rsidR="00A51FAB" w:rsidRPr="0098098E" w14:paraId="783CCA78" w14:textId="77777777" w:rsidTr="005F0B7A">
        <w:tc>
          <w:tcPr>
            <w:cnfStyle w:val="001000000000" w:firstRow="0" w:lastRow="0" w:firstColumn="1" w:lastColumn="0" w:oddVBand="0" w:evenVBand="0" w:oddHBand="0" w:evenHBand="0" w:firstRowFirstColumn="0" w:firstRowLastColumn="0" w:lastRowFirstColumn="0" w:lastRowLastColumn="0"/>
            <w:tcW w:w="7196" w:type="dxa"/>
          </w:tcPr>
          <w:p w14:paraId="02B6068D" w14:textId="77777777" w:rsidR="00A51FAB" w:rsidRPr="00ED5D2B" w:rsidRDefault="00A51FAB" w:rsidP="00CD78AB">
            <w:r>
              <w:t>are added as (an) Additional Insured(s).</w:t>
            </w:r>
            <w:permStart w:id="126766298" w:edGrp="everyone"/>
            <w:permEnd w:id="126766298"/>
          </w:p>
        </w:tc>
        <w:tc>
          <w:tcPr>
            <w:tcW w:w="7938" w:type="dxa"/>
          </w:tcPr>
          <w:p w14:paraId="1C25FBE2" w14:textId="77777777" w:rsidR="00A51FAB" w:rsidRPr="00ED5D2B" w:rsidRDefault="00CD78AB" w:rsidP="00CD78AB">
            <w:pPr>
              <w:cnfStyle w:val="000000000000" w:firstRow="0" w:lastRow="0" w:firstColumn="0" w:lastColumn="0" w:oddVBand="0" w:evenVBand="0" w:oddHBand="0" w:evenHBand="0" w:firstRowFirstColumn="0" w:firstRowLastColumn="0" w:lastRowFirstColumn="0" w:lastRowLastColumn="0"/>
              <w:rPr>
                <w:rFonts w:ascii="NewCenturySchool" w:hAnsi="NewCenturySchool"/>
                <w:lang w:val="fr-FR"/>
              </w:rPr>
            </w:pPr>
            <w:proofErr w:type="gramStart"/>
            <w:r>
              <w:rPr>
                <w:rFonts w:ascii="NewCenturySchool" w:hAnsi="NewCenturySchool"/>
                <w:lang w:val="fr-FR"/>
              </w:rPr>
              <w:t>s</w:t>
            </w:r>
            <w:r w:rsidR="00A51FAB" w:rsidRPr="0098098E">
              <w:rPr>
                <w:rFonts w:ascii="NewCenturySchool" w:hAnsi="NewCenturySchool"/>
                <w:lang w:val="fr-FR"/>
              </w:rPr>
              <w:t>ont</w:t>
            </w:r>
            <w:proofErr w:type="gramEnd"/>
            <w:r w:rsidR="00A51FAB" w:rsidRPr="0098098E">
              <w:rPr>
                <w:rFonts w:ascii="NewCenturySchool" w:hAnsi="NewCenturySchool"/>
                <w:lang w:val="fr-FR"/>
              </w:rPr>
              <w:t xml:space="preserve"> ajoutés en tant (qu’) Assuré(s) </w:t>
            </w:r>
            <w:r>
              <w:rPr>
                <w:rFonts w:ascii="NewCenturySchool" w:hAnsi="NewCenturySchool"/>
                <w:lang w:val="fr-FR"/>
              </w:rPr>
              <w:t>Additionnel</w:t>
            </w:r>
            <w:r w:rsidR="00A51FAB" w:rsidRPr="0098098E">
              <w:rPr>
                <w:rFonts w:ascii="NewCenturySchool" w:hAnsi="NewCenturySchool"/>
                <w:lang w:val="fr-FR"/>
              </w:rPr>
              <w:t>(s).</w:t>
            </w:r>
          </w:p>
        </w:tc>
      </w:tr>
      <w:tr w:rsidR="00A51FAB" w:rsidRPr="0098098E" w14:paraId="0E880429" w14:textId="77777777" w:rsidTr="005F0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4F30455E" w14:textId="77777777" w:rsidR="00A51FAB" w:rsidRDefault="00A51FAB" w:rsidP="00CD78AB">
            <w:r>
              <w:t xml:space="preserve">This Endorsement does not provide coverage for the above with respect to claims arising out of their legal liability as manufacturer of or performer of maintenance, repairs, service or supply to the Aircraft and does not prejudice Insurers’ rights of recourse against the above as manufacturer of or performer of maintenance, repairs, service or supply to the Aircraft where such rights of recourse would have existed had this Endorsement not been </w:t>
            </w:r>
            <w:proofErr w:type="gramStart"/>
            <w:r>
              <w:t>effected</w:t>
            </w:r>
            <w:proofErr w:type="gramEnd"/>
            <w:r>
              <w:t xml:space="preserve"> under this Policy.</w:t>
            </w:r>
          </w:p>
          <w:p w14:paraId="09E21705" w14:textId="77777777" w:rsidR="00A51FAB" w:rsidRPr="00ED5D2B" w:rsidRDefault="00A51FAB" w:rsidP="00CD78AB">
            <w:pPr>
              <w:rPr>
                <w:i/>
              </w:rPr>
            </w:pPr>
            <w:r w:rsidRPr="0098098E">
              <w:rPr>
                <w:i/>
              </w:rPr>
              <w:t>(For use with Aircraft Liabilities)</w:t>
            </w:r>
          </w:p>
        </w:tc>
        <w:tc>
          <w:tcPr>
            <w:tcW w:w="7938" w:type="dxa"/>
          </w:tcPr>
          <w:p w14:paraId="4199D58F" w14:textId="77777777" w:rsidR="00A51FAB" w:rsidRPr="0098098E" w:rsidRDefault="00A51FAB" w:rsidP="00CD78AB">
            <w:pPr>
              <w:cnfStyle w:val="000000100000" w:firstRow="0" w:lastRow="0" w:firstColumn="0" w:lastColumn="0" w:oddVBand="0" w:evenVBand="0" w:oddHBand="1" w:evenHBand="0" w:firstRowFirstColumn="0" w:firstRowLastColumn="0" w:lastRowFirstColumn="0" w:lastRowLastColumn="0"/>
              <w:rPr>
                <w:rFonts w:ascii="NewCenturySchool" w:hAnsi="NewCenturySchool"/>
                <w:lang w:val="fr-FR"/>
              </w:rPr>
            </w:pPr>
            <w:r w:rsidRPr="0098098E">
              <w:rPr>
                <w:rFonts w:ascii="NewCenturySchool" w:hAnsi="NewCenturySchool"/>
                <w:lang w:val="fr-FR"/>
              </w:rPr>
              <w:t xml:space="preserve">Le présent Avenant ne </w:t>
            </w:r>
            <w:r w:rsidR="00CD78AB">
              <w:rPr>
                <w:rFonts w:ascii="NewCenturySchool" w:hAnsi="NewCenturySchool"/>
                <w:lang w:val="fr-FR"/>
              </w:rPr>
              <w:t>garant</w:t>
            </w:r>
            <w:r w:rsidRPr="0098098E">
              <w:rPr>
                <w:rFonts w:ascii="NewCenturySchool" w:hAnsi="NewCenturySchool"/>
                <w:lang w:val="fr-FR"/>
              </w:rPr>
              <w:t xml:space="preserve">it pas </w:t>
            </w:r>
            <w:r w:rsidR="00CD78AB">
              <w:rPr>
                <w:rFonts w:ascii="NewCenturySchool" w:hAnsi="NewCenturySchool"/>
                <w:lang w:val="fr-FR"/>
              </w:rPr>
              <w:t>l’</w:t>
            </w:r>
            <w:r w:rsidRPr="0098098E">
              <w:rPr>
                <w:rFonts w:ascii="NewCenturySchool" w:hAnsi="NewCenturySchool"/>
                <w:lang w:val="fr-FR"/>
              </w:rPr>
              <w:t>(</w:t>
            </w:r>
            <w:r w:rsidR="00CD78AB">
              <w:rPr>
                <w:rFonts w:ascii="NewCenturySchool" w:hAnsi="NewCenturySchool"/>
                <w:lang w:val="fr-FR"/>
              </w:rPr>
              <w:t>e</w:t>
            </w:r>
            <w:r w:rsidRPr="0098098E">
              <w:rPr>
                <w:rFonts w:ascii="NewCenturySchool" w:hAnsi="NewCenturySchool"/>
                <w:lang w:val="fr-FR"/>
              </w:rPr>
              <w:t xml:space="preserve">s) </w:t>
            </w:r>
            <w:r w:rsidR="00CD78AB" w:rsidRPr="0098098E">
              <w:rPr>
                <w:rFonts w:ascii="NewCenturySchool" w:hAnsi="NewCenturySchool"/>
                <w:lang w:val="fr-FR"/>
              </w:rPr>
              <w:t>Assur</w:t>
            </w:r>
            <w:r w:rsidR="00CD78AB" w:rsidRPr="0098098E">
              <w:rPr>
                <w:rFonts w:ascii="NewCenturySchool" w:hAnsi="NewCenturySchool" w:hint="eastAsia"/>
                <w:lang w:val="fr-FR"/>
              </w:rPr>
              <w:t>é</w:t>
            </w:r>
            <w:r w:rsidRPr="0098098E">
              <w:rPr>
                <w:rFonts w:ascii="NewCenturySchool" w:hAnsi="NewCenturySchool"/>
                <w:lang w:val="fr-FR"/>
              </w:rPr>
              <w:t xml:space="preserve">(s) </w:t>
            </w:r>
            <w:r w:rsidR="00CD78AB">
              <w:rPr>
                <w:rFonts w:ascii="NewCenturySchool" w:hAnsi="NewCenturySchool"/>
                <w:lang w:val="fr-FR"/>
              </w:rPr>
              <w:t>Additionnel</w:t>
            </w:r>
            <w:r w:rsidRPr="0098098E">
              <w:rPr>
                <w:rFonts w:ascii="NewCenturySchool" w:hAnsi="NewCenturySchool"/>
                <w:lang w:val="fr-FR"/>
              </w:rPr>
              <w:t xml:space="preserve">(s) ci-dessus </w:t>
            </w:r>
            <w:r w:rsidR="00CD78AB">
              <w:rPr>
                <w:rFonts w:ascii="NewCenturySchool" w:hAnsi="NewCenturySchool"/>
                <w:lang w:val="fr-FR"/>
              </w:rPr>
              <w:t>pour</w:t>
            </w:r>
            <w:r w:rsidRPr="0098098E">
              <w:rPr>
                <w:rFonts w:ascii="NewCenturySchool" w:hAnsi="NewCenturySchool"/>
                <w:lang w:val="fr-FR"/>
              </w:rPr>
              <w:t xml:space="preserve"> les r</w:t>
            </w:r>
            <w:r w:rsidR="00CD78AB">
              <w:rPr>
                <w:rFonts w:ascii="NewCenturySchool" w:hAnsi="NewCenturySchool"/>
                <w:lang w:val="fr-FR"/>
              </w:rPr>
              <w:t>éclam</w:t>
            </w:r>
            <w:r w:rsidRPr="0098098E">
              <w:rPr>
                <w:rFonts w:ascii="NewCenturySchool" w:hAnsi="NewCenturySchool"/>
                <w:lang w:val="fr-FR"/>
              </w:rPr>
              <w:t xml:space="preserve">ations </w:t>
            </w:r>
            <w:r w:rsidR="00CD78AB">
              <w:rPr>
                <w:rFonts w:ascii="NewCenturySchool" w:hAnsi="NewCenturySchool"/>
                <w:lang w:val="fr-FR"/>
              </w:rPr>
              <w:t>résult</w:t>
            </w:r>
            <w:r w:rsidRPr="0098098E">
              <w:rPr>
                <w:rFonts w:ascii="NewCenturySchool" w:hAnsi="NewCenturySchool"/>
                <w:lang w:val="fr-FR"/>
              </w:rPr>
              <w:t xml:space="preserve">ant de </w:t>
            </w:r>
            <w:r w:rsidR="00CD78AB">
              <w:rPr>
                <w:rFonts w:ascii="NewCenturySchool" w:hAnsi="NewCenturySchool"/>
                <w:lang w:val="fr-FR"/>
              </w:rPr>
              <w:t>sa (</w:t>
            </w:r>
            <w:r w:rsidRPr="0098098E">
              <w:rPr>
                <w:rFonts w:ascii="NewCenturySchool" w:hAnsi="NewCenturySchool"/>
                <w:lang w:val="fr-FR"/>
              </w:rPr>
              <w:t>leur</w:t>
            </w:r>
            <w:r w:rsidR="00CD78AB">
              <w:rPr>
                <w:rFonts w:ascii="NewCenturySchool" w:hAnsi="NewCenturySchool"/>
                <w:lang w:val="fr-FR"/>
              </w:rPr>
              <w:t>)</w:t>
            </w:r>
            <w:r w:rsidRPr="0098098E">
              <w:rPr>
                <w:rFonts w:ascii="NewCenturySchool" w:hAnsi="NewCenturySchool"/>
                <w:lang w:val="fr-FR"/>
              </w:rPr>
              <w:t xml:space="preserve"> responsabilité </w:t>
            </w:r>
            <w:r w:rsidR="00CD78AB">
              <w:rPr>
                <w:rFonts w:ascii="NewCenturySchool" w:hAnsi="NewCenturySchool"/>
                <w:lang w:val="fr-FR"/>
              </w:rPr>
              <w:t>civil</w:t>
            </w:r>
            <w:r w:rsidRPr="0098098E">
              <w:rPr>
                <w:rFonts w:ascii="NewCenturySchool" w:hAnsi="NewCenturySchool"/>
                <w:lang w:val="fr-FR"/>
              </w:rPr>
              <w:t>e en tant que fabricant ou de prestataire de maintenance, réparation</w:t>
            </w:r>
            <w:r w:rsidR="00CD78AB">
              <w:rPr>
                <w:rFonts w:ascii="NewCenturySchool" w:hAnsi="NewCenturySchool"/>
                <w:lang w:val="fr-FR"/>
              </w:rPr>
              <w:t>s</w:t>
            </w:r>
            <w:r w:rsidRPr="0098098E">
              <w:rPr>
                <w:rFonts w:ascii="NewCenturySchool" w:hAnsi="NewCenturySchool"/>
                <w:lang w:val="fr-FR"/>
              </w:rPr>
              <w:t>, service ou fourniture à l'</w:t>
            </w:r>
            <w:r w:rsidR="00CD78AB">
              <w:rPr>
                <w:rFonts w:ascii="NewCenturySchool" w:hAnsi="NewCenturySchool"/>
                <w:lang w:val="fr-FR"/>
              </w:rPr>
              <w:t>Aéronef</w:t>
            </w:r>
            <w:r w:rsidRPr="0098098E">
              <w:rPr>
                <w:rFonts w:ascii="NewCenturySchool" w:hAnsi="NewCenturySchool"/>
                <w:lang w:val="fr-FR"/>
              </w:rPr>
              <w:t xml:space="preserve"> et ne porte pas atteinte aux droits des </w:t>
            </w:r>
            <w:r w:rsidR="00CD78AB" w:rsidRPr="0098098E">
              <w:rPr>
                <w:rFonts w:ascii="NewCenturySchool" w:hAnsi="NewCenturySchool"/>
                <w:lang w:val="fr-FR"/>
              </w:rPr>
              <w:t xml:space="preserve">Assureurs </w:t>
            </w:r>
            <w:r w:rsidRPr="0098098E">
              <w:rPr>
                <w:rFonts w:ascii="NewCenturySchool" w:hAnsi="NewCenturySchool"/>
                <w:lang w:val="fr-FR"/>
              </w:rPr>
              <w:t xml:space="preserve">de </w:t>
            </w:r>
            <w:r w:rsidR="00CD78AB">
              <w:rPr>
                <w:rFonts w:ascii="NewCenturySchool" w:hAnsi="NewCenturySchool"/>
                <w:lang w:val="fr-FR"/>
              </w:rPr>
              <w:t>recourir</w:t>
            </w:r>
            <w:r w:rsidRPr="0098098E">
              <w:rPr>
                <w:rFonts w:ascii="NewCenturySchool" w:hAnsi="NewCenturySchool"/>
                <w:lang w:val="fr-FR"/>
              </w:rPr>
              <w:t xml:space="preserve"> contre l</w:t>
            </w:r>
            <w:r w:rsidR="00CD78AB">
              <w:rPr>
                <w:rFonts w:ascii="NewCenturySchool" w:hAnsi="NewCenturySchool"/>
                <w:lang w:val="fr-FR"/>
              </w:rPr>
              <w:t>’</w:t>
            </w:r>
            <w:r w:rsidRPr="0098098E">
              <w:rPr>
                <w:rFonts w:ascii="NewCenturySchool" w:hAnsi="NewCenturySchool"/>
                <w:lang w:val="fr-FR"/>
              </w:rPr>
              <w:t>(</w:t>
            </w:r>
            <w:r w:rsidR="00CD78AB">
              <w:rPr>
                <w:rFonts w:ascii="NewCenturySchool" w:hAnsi="NewCenturySchool"/>
                <w:lang w:val="fr-FR"/>
              </w:rPr>
              <w:t>e</w:t>
            </w:r>
            <w:r w:rsidRPr="0098098E">
              <w:rPr>
                <w:rFonts w:ascii="NewCenturySchool" w:hAnsi="NewCenturySchool"/>
                <w:lang w:val="fr-FR"/>
              </w:rPr>
              <w:t xml:space="preserve">s) </w:t>
            </w:r>
            <w:r w:rsidR="00CD78AB" w:rsidRPr="0098098E">
              <w:rPr>
                <w:rFonts w:ascii="NewCenturySchool" w:hAnsi="NewCenturySchool"/>
                <w:lang w:val="fr-FR"/>
              </w:rPr>
              <w:t>Assur</w:t>
            </w:r>
            <w:r w:rsidR="00CD78AB" w:rsidRPr="0098098E">
              <w:rPr>
                <w:rFonts w:ascii="NewCenturySchool" w:hAnsi="NewCenturySchool" w:hint="eastAsia"/>
                <w:lang w:val="fr-FR"/>
              </w:rPr>
              <w:t>é</w:t>
            </w:r>
            <w:r w:rsidRPr="0098098E">
              <w:rPr>
                <w:rFonts w:ascii="NewCenturySchool" w:hAnsi="NewCenturySchool"/>
                <w:lang w:val="fr-FR"/>
              </w:rPr>
              <w:t xml:space="preserve">(s) mentionnés ci-dessus en tant que fabricant ou prestataire de maintenance, réparations, service ou </w:t>
            </w:r>
            <w:r w:rsidR="00CD78AB">
              <w:rPr>
                <w:rFonts w:ascii="NewCenturySchool" w:hAnsi="NewCenturySchool"/>
                <w:lang w:val="fr-FR"/>
              </w:rPr>
              <w:t>f</w:t>
            </w:r>
            <w:r w:rsidRPr="0098098E">
              <w:rPr>
                <w:rFonts w:ascii="NewCenturySchool" w:hAnsi="NewCenturySchool"/>
                <w:lang w:val="fr-FR"/>
              </w:rPr>
              <w:t>ourniture à l'</w:t>
            </w:r>
            <w:r w:rsidR="00CD78AB">
              <w:rPr>
                <w:rFonts w:ascii="NewCenturySchool" w:hAnsi="NewCenturySchool"/>
                <w:lang w:val="fr-FR"/>
              </w:rPr>
              <w:t>Aéronef</w:t>
            </w:r>
            <w:r w:rsidRPr="0098098E">
              <w:rPr>
                <w:rFonts w:ascii="NewCenturySchool" w:hAnsi="NewCenturySchool"/>
                <w:lang w:val="fr-FR"/>
              </w:rPr>
              <w:t xml:space="preserve"> </w:t>
            </w:r>
            <w:r w:rsidR="00CD78AB">
              <w:rPr>
                <w:rFonts w:ascii="NewCenturySchool" w:hAnsi="NewCenturySchool"/>
                <w:lang w:val="fr-FR"/>
              </w:rPr>
              <w:t>lorsque</w:t>
            </w:r>
            <w:r w:rsidRPr="0098098E">
              <w:rPr>
                <w:rFonts w:ascii="NewCenturySchool" w:hAnsi="NewCenturySchool"/>
                <w:lang w:val="fr-FR"/>
              </w:rPr>
              <w:t xml:space="preserve"> ces droits de recours aurai</w:t>
            </w:r>
            <w:r w:rsidR="00CD78AB">
              <w:rPr>
                <w:rFonts w:ascii="NewCenturySchool" w:hAnsi="NewCenturySchool"/>
                <w:lang w:val="fr-FR"/>
              </w:rPr>
              <w:t>en</w:t>
            </w:r>
            <w:r w:rsidRPr="0098098E">
              <w:rPr>
                <w:rFonts w:ascii="NewCenturySchool" w:hAnsi="NewCenturySchool"/>
                <w:lang w:val="fr-FR"/>
              </w:rPr>
              <w:t xml:space="preserve">t existé </w:t>
            </w:r>
            <w:r w:rsidR="00CD78AB">
              <w:rPr>
                <w:rFonts w:ascii="NewCenturySchool" w:hAnsi="NewCenturySchool"/>
                <w:lang w:val="fr-FR"/>
              </w:rPr>
              <w:t xml:space="preserve">si </w:t>
            </w:r>
            <w:r w:rsidRPr="0098098E">
              <w:rPr>
                <w:rFonts w:ascii="NewCenturySchool" w:hAnsi="NewCenturySchool"/>
                <w:lang w:val="fr-FR"/>
              </w:rPr>
              <w:t xml:space="preserve">cet </w:t>
            </w:r>
            <w:r w:rsidR="00CD78AB" w:rsidRPr="0098098E">
              <w:rPr>
                <w:rFonts w:ascii="NewCenturySchool" w:hAnsi="NewCenturySchool"/>
                <w:lang w:val="fr-FR"/>
              </w:rPr>
              <w:t xml:space="preserve">Avenant </w:t>
            </w:r>
            <w:r w:rsidR="001C7564">
              <w:rPr>
                <w:rFonts w:ascii="NewCenturySchool" w:hAnsi="NewCenturySchool"/>
                <w:lang w:val="fr-FR"/>
              </w:rPr>
              <w:t xml:space="preserve">n’avait </w:t>
            </w:r>
            <w:r w:rsidR="00CD78AB">
              <w:rPr>
                <w:rFonts w:ascii="NewCenturySchool" w:hAnsi="NewCenturySchool"/>
                <w:lang w:val="fr-FR"/>
              </w:rPr>
              <w:t>pas pris effet au titre du</w:t>
            </w:r>
            <w:r w:rsidRPr="0098098E">
              <w:rPr>
                <w:rFonts w:ascii="NewCenturySchool" w:hAnsi="NewCenturySchool"/>
                <w:lang w:val="fr-FR"/>
              </w:rPr>
              <w:t xml:space="preserve"> présent </w:t>
            </w:r>
            <w:r w:rsidR="00CD78AB">
              <w:rPr>
                <w:rFonts w:ascii="NewCenturySchool" w:hAnsi="NewCenturySchool"/>
                <w:lang w:val="fr-FR"/>
              </w:rPr>
              <w:t>Contrat</w:t>
            </w:r>
            <w:r w:rsidRPr="0098098E">
              <w:rPr>
                <w:rFonts w:ascii="NewCenturySchool" w:hAnsi="NewCenturySchool"/>
                <w:lang w:val="fr-FR"/>
              </w:rPr>
              <w:t>.</w:t>
            </w:r>
          </w:p>
          <w:p w14:paraId="45A2B860" w14:textId="77777777" w:rsidR="00A51FAB" w:rsidRPr="00CD78AB" w:rsidRDefault="00A51FAB" w:rsidP="00CD78AB">
            <w:pPr>
              <w:cnfStyle w:val="000000100000" w:firstRow="0" w:lastRow="0" w:firstColumn="0" w:lastColumn="0" w:oddVBand="0" w:evenVBand="0" w:oddHBand="1" w:evenHBand="0" w:firstRowFirstColumn="0" w:firstRowLastColumn="0" w:lastRowFirstColumn="0" w:lastRowLastColumn="0"/>
              <w:rPr>
                <w:rFonts w:ascii="NewCenturySchool" w:hAnsi="NewCenturySchool"/>
                <w:i/>
                <w:lang w:val="fr-FR"/>
              </w:rPr>
            </w:pPr>
            <w:r w:rsidRPr="00CD78AB">
              <w:rPr>
                <w:rFonts w:ascii="NewCenturySchool" w:hAnsi="NewCenturySchool"/>
                <w:i/>
                <w:lang w:val="fr-FR"/>
              </w:rPr>
              <w:t xml:space="preserve">(Pour une utilisation avec </w:t>
            </w:r>
            <w:r w:rsidR="00CD78AB" w:rsidRPr="00CD78AB">
              <w:rPr>
                <w:rFonts w:ascii="NewCenturySchool" w:hAnsi="NewCenturySchool"/>
                <w:i/>
                <w:lang w:val="fr-FR"/>
              </w:rPr>
              <w:t>la Responsabilité Civile</w:t>
            </w:r>
            <w:r w:rsidRPr="00CD78AB">
              <w:rPr>
                <w:rFonts w:ascii="NewCenturySchool" w:hAnsi="NewCenturySchool"/>
                <w:i/>
                <w:lang w:val="fr-FR"/>
              </w:rPr>
              <w:t xml:space="preserve"> </w:t>
            </w:r>
            <w:r w:rsidR="00CD78AB" w:rsidRPr="00CD78AB">
              <w:rPr>
                <w:rFonts w:ascii="NewCenturySchool" w:hAnsi="NewCenturySchool"/>
                <w:i/>
                <w:lang w:val="fr-FR"/>
              </w:rPr>
              <w:t>A</w:t>
            </w:r>
            <w:r w:rsidR="00CD78AB" w:rsidRPr="00CD78AB">
              <w:rPr>
                <w:rFonts w:ascii="NewCenturySchool" w:hAnsi="NewCenturySchool" w:hint="eastAsia"/>
                <w:i/>
                <w:lang w:val="fr-FR"/>
              </w:rPr>
              <w:t>é</w:t>
            </w:r>
            <w:r w:rsidR="00CD78AB" w:rsidRPr="00CD78AB">
              <w:rPr>
                <w:rFonts w:ascii="NewCenturySchool" w:hAnsi="NewCenturySchool"/>
                <w:i/>
                <w:lang w:val="fr-FR"/>
              </w:rPr>
              <w:t>ronefs</w:t>
            </w:r>
            <w:r w:rsidRPr="00CD78AB">
              <w:rPr>
                <w:rFonts w:ascii="NewCenturySchool" w:hAnsi="NewCenturySchool"/>
                <w:i/>
                <w:lang w:val="fr-FR"/>
              </w:rPr>
              <w:t>)</w:t>
            </w:r>
          </w:p>
        </w:tc>
      </w:tr>
      <w:tr w:rsidR="00A51FAB" w:rsidRPr="0098098E" w14:paraId="3CF85E5D" w14:textId="77777777" w:rsidTr="005F0B7A">
        <w:tc>
          <w:tcPr>
            <w:cnfStyle w:val="001000000000" w:firstRow="0" w:lastRow="0" w:firstColumn="1" w:lastColumn="0" w:oddVBand="0" w:evenVBand="0" w:oddHBand="0" w:evenHBand="0" w:firstRowFirstColumn="0" w:firstRowLastColumn="0" w:lastRowFirstColumn="0" w:lastRowLastColumn="0"/>
            <w:tcW w:w="7196" w:type="dxa"/>
          </w:tcPr>
          <w:p w14:paraId="13143EBD" w14:textId="77777777" w:rsidR="00A51FAB" w:rsidRPr="00ED5D2B" w:rsidRDefault="00A51FAB" w:rsidP="00CD78AB">
            <w:pPr>
              <w:rPr>
                <w:b w:val="0"/>
                <w:sz w:val="22"/>
              </w:rPr>
            </w:pPr>
            <w:r w:rsidRPr="0098098E">
              <w:rPr>
                <w:sz w:val="22"/>
              </w:rPr>
              <w:t xml:space="preserve">AVN </w:t>
            </w:r>
            <w:proofErr w:type="gramStart"/>
            <w:r w:rsidRPr="0098098E">
              <w:rPr>
                <w:sz w:val="22"/>
              </w:rPr>
              <w:t>101  25</w:t>
            </w:r>
            <w:proofErr w:type="gramEnd"/>
            <w:r w:rsidRPr="0098098E">
              <w:rPr>
                <w:sz w:val="22"/>
              </w:rPr>
              <w:t>.9.08</w:t>
            </w:r>
          </w:p>
        </w:tc>
        <w:tc>
          <w:tcPr>
            <w:tcW w:w="7938" w:type="dxa"/>
          </w:tcPr>
          <w:p w14:paraId="0AB781B9" w14:textId="77777777" w:rsidR="00A51FAB" w:rsidRPr="0098098E" w:rsidRDefault="00A51FAB" w:rsidP="00CD78AB">
            <w:pPr>
              <w:cnfStyle w:val="000000000000" w:firstRow="0" w:lastRow="0" w:firstColumn="0" w:lastColumn="0" w:oddVBand="0" w:evenVBand="0" w:oddHBand="0" w:evenHBand="0" w:firstRowFirstColumn="0" w:firstRowLastColumn="0" w:lastRowFirstColumn="0" w:lastRowLastColumn="0"/>
              <w:rPr>
                <w:b/>
              </w:rPr>
            </w:pPr>
            <w:r w:rsidRPr="002B2275">
              <w:rPr>
                <w:rFonts w:ascii="NewCenturySchool" w:hAnsi="NewCenturySchool"/>
                <w:b/>
                <w:sz w:val="22"/>
              </w:rPr>
              <w:t xml:space="preserve">AVN </w:t>
            </w:r>
            <w:proofErr w:type="gramStart"/>
            <w:r w:rsidRPr="002B2275">
              <w:rPr>
                <w:rFonts w:ascii="NewCenturySchool" w:hAnsi="NewCenturySchool"/>
                <w:b/>
                <w:sz w:val="22"/>
              </w:rPr>
              <w:t>101  25</w:t>
            </w:r>
            <w:proofErr w:type="gramEnd"/>
            <w:r w:rsidRPr="002B2275">
              <w:rPr>
                <w:rFonts w:ascii="NewCenturySchool" w:hAnsi="NewCenturySchool"/>
                <w:b/>
                <w:sz w:val="22"/>
              </w:rPr>
              <w:t>.9.08</w:t>
            </w:r>
          </w:p>
        </w:tc>
      </w:tr>
      <w:tr w:rsidR="00A51FAB" w:rsidRPr="00CD78AB" w14:paraId="7E1ADBFA" w14:textId="77777777" w:rsidTr="005F0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1F48EC8E" w14:textId="77777777" w:rsidR="00A51FAB" w:rsidRPr="00CD78AB" w:rsidRDefault="00A51FAB" w:rsidP="00CD78AB">
            <w:pPr>
              <w:rPr>
                <w:i/>
                <w:lang w:val="en-GB" w:eastAsia="en-US"/>
              </w:rPr>
            </w:pPr>
            <w:r w:rsidRPr="00CD78AB">
              <w:rPr>
                <w:i/>
                <w:lang w:val="en-GB" w:eastAsia="en-US"/>
              </w:rPr>
              <w:t xml:space="preserve">In common with all AICG produced AVN Clauses, this Clause is published by AICG, but it is expressly non-binding and AICG makes no recommendation as to its use in particular policies. Insurers are of course free to offer different policy wordings and clauses to their policy holders. </w:t>
            </w:r>
          </w:p>
        </w:tc>
        <w:tc>
          <w:tcPr>
            <w:tcW w:w="7938" w:type="dxa"/>
          </w:tcPr>
          <w:p w14:paraId="4BA7C419" w14:textId="77777777" w:rsidR="00A51FAB" w:rsidRPr="00CD78AB" w:rsidRDefault="006D153F" w:rsidP="006D153F">
            <w:pPr>
              <w:cnfStyle w:val="000000100000" w:firstRow="0" w:lastRow="0" w:firstColumn="0" w:lastColumn="0" w:oddVBand="0" w:evenVBand="0" w:oddHBand="1" w:evenHBand="0" w:firstRowFirstColumn="0" w:firstRowLastColumn="0" w:lastRowFirstColumn="0" w:lastRowLastColumn="0"/>
              <w:rPr>
                <w:b/>
                <w:i/>
                <w:lang w:val="fr-FR"/>
              </w:rPr>
            </w:pPr>
            <w:r>
              <w:rPr>
                <w:rFonts w:ascii="NewCenturySchool" w:hAnsi="NewCenturySchool"/>
                <w:i/>
                <w:lang w:val="fr-FR"/>
              </w:rPr>
              <w:t>Conformément à</w:t>
            </w:r>
            <w:r w:rsidR="00A51FAB" w:rsidRPr="00CD78AB">
              <w:rPr>
                <w:rFonts w:ascii="NewCenturySchool" w:hAnsi="NewCenturySchool"/>
                <w:i/>
                <w:lang w:val="fr-FR"/>
              </w:rPr>
              <w:t xml:space="preserve"> tou</w:t>
            </w:r>
            <w:r>
              <w:rPr>
                <w:rFonts w:ascii="NewCenturySchool" w:hAnsi="NewCenturySchool"/>
                <w:i/>
                <w:lang w:val="fr-FR"/>
              </w:rPr>
              <w:t>te</w:t>
            </w:r>
            <w:r w:rsidR="00A51FAB" w:rsidRPr="00CD78AB">
              <w:rPr>
                <w:rFonts w:ascii="NewCenturySchool" w:hAnsi="NewCenturySchool"/>
                <w:i/>
                <w:lang w:val="fr-FR"/>
              </w:rPr>
              <w:t xml:space="preserve">s les </w:t>
            </w:r>
            <w:r>
              <w:rPr>
                <w:rFonts w:ascii="NewCenturySchool" w:hAnsi="NewCenturySchool"/>
                <w:i/>
                <w:lang w:val="fr-FR"/>
              </w:rPr>
              <w:t>Clauses AVN produites par l’</w:t>
            </w:r>
            <w:r w:rsidR="00A51FAB" w:rsidRPr="00CD78AB">
              <w:rPr>
                <w:rFonts w:ascii="NewCenturySchool" w:hAnsi="NewCenturySchool"/>
                <w:i/>
                <w:lang w:val="fr-FR"/>
              </w:rPr>
              <w:t xml:space="preserve">AICG, cette </w:t>
            </w:r>
            <w:r w:rsidRPr="00CD78AB">
              <w:rPr>
                <w:rFonts w:ascii="NewCenturySchool" w:hAnsi="NewCenturySchool"/>
                <w:i/>
                <w:lang w:val="fr-FR"/>
              </w:rPr>
              <w:t xml:space="preserve">Clause </w:t>
            </w:r>
            <w:r w:rsidR="00A51FAB" w:rsidRPr="00CD78AB">
              <w:rPr>
                <w:rFonts w:ascii="NewCenturySchool" w:hAnsi="NewCenturySchool"/>
                <w:i/>
                <w:lang w:val="fr-FR"/>
              </w:rPr>
              <w:t>est publié</w:t>
            </w:r>
            <w:r>
              <w:rPr>
                <w:rFonts w:ascii="NewCenturySchool" w:hAnsi="NewCenturySchool"/>
                <w:i/>
                <w:lang w:val="fr-FR"/>
              </w:rPr>
              <w:t>e</w:t>
            </w:r>
            <w:r w:rsidR="00A51FAB" w:rsidRPr="00CD78AB">
              <w:rPr>
                <w:rFonts w:ascii="NewCenturySchool" w:hAnsi="NewCenturySchool"/>
                <w:i/>
                <w:lang w:val="fr-FR"/>
              </w:rPr>
              <w:t xml:space="preserve"> par </w:t>
            </w:r>
            <w:r>
              <w:rPr>
                <w:rFonts w:ascii="NewCenturySchool" w:hAnsi="NewCenturySchool"/>
                <w:i/>
                <w:lang w:val="fr-FR"/>
              </w:rPr>
              <w:t>l’</w:t>
            </w:r>
            <w:r w:rsidR="00A51FAB" w:rsidRPr="00CD78AB">
              <w:rPr>
                <w:rFonts w:ascii="NewCenturySchool" w:hAnsi="NewCenturySchool"/>
                <w:i/>
                <w:lang w:val="fr-FR"/>
              </w:rPr>
              <w:t>AICG, mais est expressément non-contraignant</w:t>
            </w:r>
            <w:r>
              <w:rPr>
                <w:rFonts w:ascii="NewCenturySchool" w:hAnsi="NewCenturySchool"/>
                <w:i/>
                <w:lang w:val="fr-FR"/>
              </w:rPr>
              <w:t>e</w:t>
            </w:r>
            <w:r w:rsidR="00A51FAB" w:rsidRPr="00CD78AB">
              <w:rPr>
                <w:rFonts w:ascii="NewCenturySchool" w:hAnsi="NewCenturySchool"/>
                <w:i/>
                <w:lang w:val="fr-FR"/>
              </w:rPr>
              <w:t xml:space="preserve"> et </w:t>
            </w:r>
            <w:r>
              <w:rPr>
                <w:rFonts w:ascii="NewCenturySchool" w:hAnsi="NewCenturySchool"/>
                <w:i/>
                <w:lang w:val="fr-FR"/>
              </w:rPr>
              <w:t>l’</w:t>
            </w:r>
            <w:r w:rsidR="00A51FAB" w:rsidRPr="00CD78AB">
              <w:rPr>
                <w:rFonts w:ascii="NewCenturySchool" w:hAnsi="NewCenturySchool"/>
                <w:i/>
                <w:lang w:val="fr-FR"/>
              </w:rPr>
              <w:t xml:space="preserve">AICG ne fait aucune recommandation quant à son utilisation dans des </w:t>
            </w:r>
            <w:r w:rsidRPr="00CD78AB">
              <w:rPr>
                <w:rFonts w:ascii="NewCenturySchool" w:hAnsi="NewCenturySchool"/>
                <w:i/>
                <w:lang w:val="fr-FR"/>
              </w:rPr>
              <w:t xml:space="preserve">polices </w:t>
            </w:r>
            <w:r w:rsidR="00A51FAB" w:rsidRPr="00CD78AB">
              <w:rPr>
                <w:rFonts w:ascii="NewCenturySchool" w:hAnsi="NewCenturySchool"/>
                <w:i/>
                <w:lang w:val="fr-FR"/>
              </w:rPr>
              <w:t xml:space="preserve">particulières. Les </w:t>
            </w:r>
            <w:r w:rsidRPr="00CD78AB">
              <w:rPr>
                <w:rFonts w:ascii="NewCenturySchool" w:hAnsi="NewCenturySchool"/>
                <w:i/>
                <w:lang w:val="fr-FR"/>
              </w:rPr>
              <w:t xml:space="preserve">assureurs </w:t>
            </w:r>
            <w:r w:rsidR="00A51FAB" w:rsidRPr="00CD78AB">
              <w:rPr>
                <w:rFonts w:ascii="NewCenturySchool" w:hAnsi="NewCenturySchool"/>
                <w:i/>
                <w:lang w:val="fr-FR"/>
              </w:rPr>
              <w:t xml:space="preserve">sont bien sûr libres d'offrir </w:t>
            </w:r>
            <w:r>
              <w:rPr>
                <w:rFonts w:ascii="NewCenturySchool" w:hAnsi="NewCenturySchool"/>
                <w:i/>
                <w:lang w:val="fr-FR"/>
              </w:rPr>
              <w:t>des termes</w:t>
            </w:r>
            <w:r w:rsidR="00A51FAB" w:rsidRPr="00CD78AB">
              <w:rPr>
                <w:rFonts w:ascii="NewCenturySchool" w:hAnsi="NewCenturySchool"/>
                <w:i/>
                <w:lang w:val="fr-FR"/>
              </w:rPr>
              <w:t xml:space="preserve"> </w:t>
            </w:r>
            <w:r>
              <w:rPr>
                <w:rFonts w:ascii="NewCenturySchool" w:hAnsi="NewCenturySchool"/>
                <w:i/>
                <w:lang w:val="fr-FR"/>
              </w:rPr>
              <w:t>contractuels</w:t>
            </w:r>
            <w:r w:rsidR="00A51FAB" w:rsidRPr="00CD78AB">
              <w:rPr>
                <w:rFonts w:ascii="NewCenturySchool" w:hAnsi="NewCenturySchool"/>
                <w:i/>
                <w:lang w:val="fr-FR"/>
              </w:rPr>
              <w:t xml:space="preserve"> et des clauses </w:t>
            </w:r>
            <w:r>
              <w:rPr>
                <w:rFonts w:ascii="NewCenturySchool" w:hAnsi="NewCenturySchool"/>
                <w:i/>
                <w:lang w:val="fr-FR"/>
              </w:rPr>
              <w:t xml:space="preserve">différents </w:t>
            </w:r>
            <w:r w:rsidR="00A51FAB" w:rsidRPr="00CD78AB">
              <w:rPr>
                <w:rFonts w:ascii="NewCenturySchool" w:hAnsi="NewCenturySchool"/>
                <w:i/>
                <w:lang w:val="fr-FR"/>
              </w:rPr>
              <w:t xml:space="preserve">à leurs </w:t>
            </w:r>
            <w:r>
              <w:rPr>
                <w:rFonts w:ascii="NewCenturySchool" w:hAnsi="NewCenturySchool"/>
                <w:i/>
                <w:lang w:val="fr-FR"/>
              </w:rPr>
              <w:t>assuré</w:t>
            </w:r>
            <w:r w:rsidR="00A51FAB" w:rsidRPr="00CD78AB">
              <w:rPr>
                <w:rFonts w:ascii="NewCenturySchool" w:hAnsi="NewCenturySchool"/>
                <w:i/>
                <w:lang w:val="fr-FR"/>
              </w:rPr>
              <w:t>s.</w:t>
            </w:r>
          </w:p>
        </w:tc>
      </w:tr>
    </w:tbl>
    <w:p w14:paraId="67761169" w14:textId="77777777" w:rsidR="002700BF" w:rsidRPr="00A51FAB" w:rsidRDefault="002700BF">
      <w:pPr>
        <w:pStyle w:val="subheading"/>
        <w:jc w:val="center"/>
        <w:rPr>
          <w:lang w:val="fr-FR"/>
        </w:rPr>
      </w:pPr>
    </w:p>
    <w:p w14:paraId="3786D245" w14:textId="77777777" w:rsidR="0029633D" w:rsidRPr="00A51FAB" w:rsidRDefault="0029633D">
      <w:pPr>
        <w:pStyle w:val="firstline"/>
        <w:tabs>
          <w:tab w:val="right" w:leader="dot" w:pos="8732"/>
        </w:tabs>
        <w:rPr>
          <w:lang w:val="fr-FR"/>
        </w:rPr>
      </w:pPr>
    </w:p>
    <w:p w14:paraId="4A3D74D6" w14:textId="77777777" w:rsidR="0048530D" w:rsidRPr="00A51FAB" w:rsidRDefault="0048530D" w:rsidP="00C709B8">
      <w:pPr>
        <w:rPr>
          <w:lang w:val="fr-FR"/>
        </w:rPr>
      </w:pPr>
    </w:p>
    <w:p w14:paraId="32B8126E" w14:textId="77777777" w:rsidR="0048530D" w:rsidRPr="00A51FAB" w:rsidRDefault="0048530D" w:rsidP="00C709B8">
      <w:pPr>
        <w:rPr>
          <w:lang w:val="fr-FR"/>
        </w:rPr>
      </w:pPr>
    </w:p>
    <w:p w14:paraId="5AA7D3E3" w14:textId="77777777" w:rsidR="000F0692" w:rsidRPr="00A51FAB" w:rsidRDefault="000F0692">
      <w:pPr>
        <w:rPr>
          <w:i/>
          <w:color w:val="3366FF"/>
          <w:lang w:val="fr-FR"/>
        </w:rPr>
      </w:pPr>
    </w:p>
    <w:sectPr w:rsidR="000F0692" w:rsidRPr="00A51FAB" w:rsidSect="00CD78AB">
      <w:pgSz w:w="16838" w:h="11906" w:orient="landscape"/>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D752" w14:textId="77777777" w:rsidR="00DD135F" w:rsidRDefault="00DD135F">
      <w:r>
        <w:separator/>
      </w:r>
    </w:p>
  </w:endnote>
  <w:endnote w:type="continuationSeparator" w:id="0">
    <w:p w14:paraId="45176464" w14:textId="77777777" w:rsidR="00DD135F" w:rsidRDefault="00DD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oo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81B4" w14:textId="77777777" w:rsidR="00DD135F" w:rsidRDefault="00DD135F">
      <w:r>
        <w:separator/>
      </w:r>
    </w:p>
  </w:footnote>
  <w:footnote w:type="continuationSeparator" w:id="0">
    <w:p w14:paraId="47DDF284" w14:textId="77777777" w:rsidR="00DD135F" w:rsidRDefault="00DD1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wffIpHuVrDg2TaJrDUPmIus8HMRL53relpPDpmti6Q7wPwaoUw+klzn1o7XGpbY9cUeC6ph5GHRrysL136yIg==" w:salt="c9G0nbOLnacP3jWFDEAzzA=="/>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AE"/>
    <w:rsid w:val="000400CF"/>
    <w:rsid w:val="00071AAE"/>
    <w:rsid w:val="000F0692"/>
    <w:rsid w:val="001C44E4"/>
    <w:rsid w:val="001C7564"/>
    <w:rsid w:val="001D74DF"/>
    <w:rsid w:val="0025513B"/>
    <w:rsid w:val="002700BF"/>
    <w:rsid w:val="002811AA"/>
    <w:rsid w:val="0029633D"/>
    <w:rsid w:val="002C34EE"/>
    <w:rsid w:val="00325033"/>
    <w:rsid w:val="00443CFD"/>
    <w:rsid w:val="00462F55"/>
    <w:rsid w:val="0048530D"/>
    <w:rsid w:val="00495354"/>
    <w:rsid w:val="004B5A5C"/>
    <w:rsid w:val="005A562C"/>
    <w:rsid w:val="005E6F23"/>
    <w:rsid w:val="005F0B7A"/>
    <w:rsid w:val="006D153F"/>
    <w:rsid w:val="007415B6"/>
    <w:rsid w:val="007561F5"/>
    <w:rsid w:val="007B2ECC"/>
    <w:rsid w:val="0081668F"/>
    <w:rsid w:val="00845BD5"/>
    <w:rsid w:val="00860F52"/>
    <w:rsid w:val="0088171B"/>
    <w:rsid w:val="008D2179"/>
    <w:rsid w:val="00921114"/>
    <w:rsid w:val="0098098E"/>
    <w:rsid w:val="009D27A4"/>
    <w:rsid w:val="00A22381"/>
    <w:rsid w:val="00A51FAB"/>
    <w:rsid w:val="00BB6AA8"/>
    <w:rsid w:val="00BD41ED"/>
    <w:rsid w:val="00C02E78"/>
    <w:rsid w:val="00C30243"/>
    <w:rsid w:val="00C709B8"/>
    <w:rsid w:val="00CA5604"/>
    <w:rsid w:val="00CD78AB"/>
    <w:rsid w:val="00CF75D5"/>
    <w:rsid w:val="00D7387A"/>
    <w:rsid w:val="00D97385"/>
    <w:rsid w:val="00DD135F"/>
    <w:rsid w:val="00DE5171"/>
    <w:rsid w:val="00E74074"/>
    <w:rsid w:val="00ED5D2B"/>
    <w:rsid w:val="00F006D9"/>
    <w:rsid w:val="00F2738F"/>
    <w:rsid w:val="00F402F9"/>
    <w:rsid w:val="00FE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13CA0E"/>
  <w15:chartTrackingRefBased/>
  <w15:docId w15:val="{EAD8721D-4838-4FF4-A49F-0F96B87E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8AB"/>
    <w:pPr>
      <w:spacing w:after="120"/>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pPr>
      <w:spacing w:line="220" w:lineRule="exact"/>
    </w:pPr>
    <w:rPr>
      <w:rFonts w:ascii="Arial" w:hAnsi="Arial"/>
      <w:b/>
      <w:lang w:val="en-GB" w:eastAsia="en-US"/>
    </w:rPr>
  </w:style>
  <w:style w:type="paragraph" w:customStyle="1" w:styleId="firstline">
    <w:name w:val="first line"/>
    <w:basedOn w:val="Normal"/>
    <w:pPr>
      <w:tabs>
        <w:tab w:val="left" w:pos="340"/>
      </w:tabs>
      <w:spacing w:line="220" w:lineRule="exact"/>
    </w:pPr>
    <w:rPr>
      <w:rFonts w:ascii="NewCenturySchlbk" w:hAnsi="NewCenturySchlbk"/>
      <w:lang w:val="en-GB" w:eastAsia="en-US"/>
    </w:rPr>
  </w:style>
  <w:style w:type="paragraph" w:styleId="Header">
    <w:name w:val="header"/>
    <w:basedOn w:val="Normal"/>
    <w:rsid w:val="002700BF"/>
    <w:pPr>
      <w:tabs>
        <w:tab w:val="center" w:pos="4153"/>
        <w:tab w:val="right" w:pos="8306"/>
      </w:tabs>
    </w:pPr>
  </w:style>
  <w:style w:type="paragraph" w:styleId="Footer">
    <w:name w:val="footer"/>
    <w:basedOn w:val="Normal"/>
    <w:rsid w:val="002700BF"/>
    <w:pPr>
      <w:tabs>
        <w:tab w:val="center" w:pos="4153"/>
        <w:tab w:val="right" w:pos="8306"/>
      </w:tabs>
    </w:pPr>
  </w:style>
  <w:style w:type="table" w:styleId="TableGrid">
    <w:name w:val="Table Grid"/>
    <w:basedOn w:val="TableNormal"/>
    <w:rsid w:val="00A5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F0B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DD6CA-AA1F-45ED-B08B-EB28088B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DAE6D0-D602-4515-8E05-0DD5672B7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0C91D-9186-4AF3-AF4D-F2B911C02524}">
  <ds:schemaRefs>
    <ds:schemaRef ds:uri="http://schemas.openxmlformats.org/officeDocument/2006/bibliography"/>
  </ds:schemaRefs>
</ds:datastoreItem>
</file>

<file path=customXml/itemProps4.xml><?xml version="1.0" encoding="utf-8"?>
<ds:datastoreItem xmlns:ds="http://schemas.openxmlformats.org/officeDocument/2006/customXml" ds:itemID="{AF69EF2A-CC4E-4CAB-B8D4-67B38E9E1216}">
  <ds:schemaRefs>
    <ds:schemaRef ds:uri="http://schemas.microsoft.com/office/2006/metadata/longProperties"/>
  </ds:schemaRefs>
</ds:datastoreItem>
</file>

<file path=customXml/itemProps5.xml><?xml version="1.0" encoding="utf-8"?>
<ds:datastoreItem xmlns:ds="http://schemas.openxmlformats.org/officeDocument/2006/customXml" ds:itemID="{41F10F65-7FE5-4C20-B6CD-6E03D784A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1737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ADDITIONAL INSURED ENDORSEMENT (LIABILITIES)</vt:lpstr>
    </vt:vector>
  </TitlesOfParts>
  <Company>Lloyd's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INSURED ENDORSEMENT (LIABILITIES)</dc:title>
  <dc:subject/>
  <dc:creator>CONNORJC</dc:creator>
  <cp:keywords/>
  <cp:lastModifiedBy>Victoria Kasperski</cp:lastModifiedBy>
  <cp:revision>4</cp:revision>
  <dcterms:created xsi:type="dcterms:W3CDTF">2021-03-11T18:23:00Z</dcterms:created>
  <dcterms:modified xsi:type="dcterms:W3CDTF">2022-03-22T20:03:00Z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Jared Seth</vt:lpwstr>
  </property>
  <property fmtid="{D5CDD505-2E9C-101B-9397-08002B2CF9AE}" pid="4" name="display_urn:schemas-microsoft-com:office:office#Author">
    <vt:lpwstr>Jared Seth</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y fmtid="{D5CDD505-2E9C-101B-9397-08002B2CF9AE}" pid="8" name="MSIP_Label_1991188f-a7e3-448c-8f97-b9522b202f89_Enabled">
    <vt:lpwstr>true</vt:lpwstr>
  </property>
  <property fmtid="{D5CDD505-2E9C-101B-9397-08002B2CF9AE}" pid="9" name="MSIP_Label_1991188f-a7e3-448c-8f97-b9522b202f89_SetDate">
    <vt:lpwstr>2022-03-22T20:02:55Z</vt:lpwstr>
  </property>
  <property fmtid="{D5CDD505-2E9C-101B-9397-08002B2CF9AE}" pid="10" name="MSIP_Label_1991188f-a7e3-448c-8f97-b9522b202f89_Method">
    <vt:lpwstr>Privileged</vt:lpwstr>
  </property>
  <property fmtid="{D5CDD505-2E9C-101B-9397-08002B2CF9AE}" pid="11" name="MSIP_Label_1991188f-a7e3-448c-8f97-b9522b202f89_Name">
    <vt:lpwstr>Business</vt:lpwstr>
  </property>
  <property fmtid="{D5CDD505-2E9C-101B-9397-08002B2CF9AE}" pid="12" name="MSIP_Label_1991188f-a7e3-448c-8f97-b9522b202f89_SiteId">
    <vt:lpwstr>dfb69b7d-9b61-4aa8-9d91-71377b18e1d2</vt:lpwstr>
  </property>
  <property fmtid="{D5CDD505-2E9C-101B-9397-08002B2CF9AE}" pid="13" name="MSIP_Label_1991188f-a7e3-448c-8f97-b9522b202f89_ActionId">
    <vt:lpwstr>7879a192-4312-4201-872d-dabb51668c96</vt:lpwstr>
  </property>
  <property fmtid="{D5CDD505-2E9C-101B-9397-08002B2CF9AE}" pid="14" name="MSIP_Label_1991188f-a7e3-448c-8f97-b9522b202f89_ContentBits">
    <vt:lpwstr>0</vt:lpwstr>
  </property>
</Properties>
</file>