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0D" w:rsidRPr="009A6551" w:rsidRDefault="00AA620D">
      <w:pPr>
        <w:rPr>
          <w:rFonts w:ascii="Times New Roman" w:hAnsi="Times New Roman" w:cs="Times New Roman"/>
        </w:rPr>
      </w:pPr>
    </w:p>
    <w:p w:rsidR="003D73C4" w:rsidRPr="009A6551" w:rsidRDefault="003D73C4" w:rsidP="009A6551">
      <w:pPr>
        <w:spacing w:line="240" w:lineRule="auto"/>
        <w:rPr>
          <w:rFonts w:ascii="Times New Roman" w:hAnsi="Times New Roman" w:cs="Times New Roman"/>
          <w:b/>
        </w:rPr>
      </w:pPr>
      <w:r w:rsidRPr="009A6551">
        <w:rPr>
          <w:rFonts w:ascii="Times New Roman" w:hAnsi="Times New Roman" w:cs="Times New Roman"/>
          <w:b/>
        </w:rPr>
        <w:t>Form AGL has been changed as follows:</w:t>
      </w:r>
    </w:p>
    <w:p w:rsidR="00E10ACB" w:rsidRPr="009A6551" w:rsidRDefault="00E10ACB" w:rsidP="009A6551">
      <w:pPr>
        <w:spacing w:line="240" w:lineRule="auto"/>
        <w:rPr>
          <w:rFonts w:ascii="Times New Roman" w:hAnsi="Times New Roman" w:cs="Times New Roman"/>
          <w:b/>
        </w:rPr>
      </w:pPr>
      <w:r w:rsidRPr="009A6551">
        <w:rPr>
          <w:rFonts w:ascii="Times New Roman" w:hAnsi="Times New Roman" w:cs="Times New Roman"/>
          <w:b/>
        </w:rPr>
        <w:t>SECTION I – COVE</w:t>
      </w:r>
      <w:r w:rsidR="008053D3">
        <w:rPr>
          <w:rFonts w:ascii="Times New Roman" w:hAnsi="Times New Roman" w:cs="Times New Roman"/>
          <w:b/>
        </w:rPr>
        <w:t>R</w:t>
      </w:r>
      <w:r w:rsidRPr="009A6551">
        <w:rPr>
          <w:rFonts w:ascii="Times New Roman" w:hAnsi="Times New Roman" w:cs="Times New Roman"/>
          <w:b/>
        </w:rPr>
        <w:t>AGES:</w:t>
      </w:r>
    </w:p>
    <w:p w:rsidR="003D73C4" w:rsidRPr="009A6551" w:rsidRDefault="006F4023" w:rsidP="009A6551">
      <w:pPr>
        <w:pStyle w:val="ListParagraph"/>
        <w:numPr>
          <w:ilvl w:val="0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</w:rPr>
      </w:pPr>
      <w:r w:rsidRPr="009A6551">
        <w:rPr>
          <w:rFonts w:ascii="Times New Roman" w:hAnsi="Times New Roman" w:cs="Times New Roman"/>
          <w:b/>
        </w:rPr>
        <w:t>Insuring Agreements of COVERAGES</w:t>
      </w:r>
      <w:r w:rsidR="003D73C4" w:rsidRPr="009A6551">
        <w:rPr>
          <w:rFonts w:ascii="Times New Roman" w:hAnsi="Times New Roman" w:cs="Times New Roman"/>
        </w:rPr>
        <w:t xml:space="preserve"> </w:t>
      </w:r>
      <w:r w:rsidR="003D73C4" w:rsidRPr="009A6551">
        <w:rPr>
          <w:rFonts w:ascii="Times New Roman" w:hAnsi="Times New Roman" w:cs="Times New Roman"/>
          <w:b/>
        </w:rPr>
        <w:t xml:space="preserve">A, B, </w:t>
      </w:r>
      <w:r w:rsidR="003D73C4" w:rsidRPr="009A6551">
        <w:rPr>
          <w:rFonts w:ascii="Times New Roman" w:hAnsi="Times New Roman" w:cs="Times New Roman"/>
        </w:rPr>
        <w:t>and</w:t>
      </w:r>
      <w:r w:rsidR="003D73C4" w:rsidRPr="009A6551">
        <w:rPr>
          <w:rFonts w:ascii="Times New Roman" w:hAnsi="Times New Roman" w:cs="Times New Roman"/>
          <w:b/>
        </w:rPr>
        <w:t xml:space="preserve"> D</w:t>
      </w:r>
      <w:r w:rsidR="003D73C4" w:rsidRPr="009A6551">
        <w:rPr>
          <w:rFonts w:ascii="Times New Roman" w:hAnsi="Times New Roman" w:cs="Times New Roman"/>
        </w:rPr>
        <w:t xml:space="preserve"> have been modified to clarify that the</w:t>
      </w:r>
      <w:r w:rsidRPr="009A6551">
        <w:rPr>
          <w:rFonts w:ascii="Times New Roman" w:hAnsi="Times New Roman" w:cs="Times New Roman"/>
        </w:rPr>
        <w:t xml:space="preserve"> Company does not have a </w:t>
      </w:r>
      <w:r w:rsidR="003D73C4" w:rsidRPr="009A6551">
        <w:rPr>
          <w:rFonts w:ascii="Times New Roman" w:hAnsi="Times New Roman" w:cs="Times New Roman"/>
        </w:rPr>
        <w:t xml:space="preserve">defense obligation when </w:t>
      </w:r>
      <w:r w:rsidRPr="009A6551">
        <w:rPr>
          <w:rFonts w:ascii="Times New Roman" w:hAnsi="Times New Roman" w:cs="Times New Roman"/>
        </w:rPr>
        <w:t xml:space="preserve">the </w:t>
      </w:r>
      <w:r w:rsidR="003D73C4" w:rsidRPr="009A6551">
        <w:rPr>
          <w:rFonts w:ascii="Times New Roman" w:hAnsi="Times New Roman" w:cs="Times New Roman"/>
        </w:rPr>
        <w:t xml:space="preserve">coverage </w:t>
      </w:r>
      <w:r w:rsidRPr="009A6551">
        <w:rPr>
          <w:rFonts w:ascii="Times New Roman" w:hAnsi="Times New Roman" w:cs="Times New Roman"/>
        </w:rPr>
        <w:t xml:space="preserve">afforded </w:t>
      </w:r>
      <w:r w:rsidR="003D73C4" w:rsidRPr="009A6551">
        <w:rPr>
          <w:rFonts w:ascii="Times New Roman" w:hAnsi="Times New Roman" w:cs="Times New Roman"/>
        </w:rPr>
        <w:t xml:space="preserve">is </w:t>
      </w:r>
      <w:r w:rsidRPr="009A6551">
        <w:rPr>
          <w:rFonts w:ascii="Times New Roman" w:hAnsi="Times New Roman" w:cs="Times New Roman"/>
        </w:rPr>
        <w:t xml:space="preserve">provided on an </w:t>
      </w:r>
      <w:r w:rsidR="003D73C4" w:rsidRPr="009A6551">
        <w:rPr>
          <w:rFonts w:ascii="Times New Roman" w:hAnsi="Times New Roman" w:cs="Times New Roman"/>
        </w:rPr>
        <w:t>excess</w:t>
      </w:r>
      <w:r w:rsidRPr="009A6551">
        <w:rPr>
          <w:rFonts w:ascii="Times New Roman" w:hAnsi="Times New Roman" w:cs="Times New Roman"/>
        </w:rPr>
        <w:t xml:space="preserve"> basis</w:t>
      </w:r>
      <w:r w:rsidR="003D73C4" w:rsidRPr="009A6551">
        <w:rPr>
          <w:rFonts w:ascii="Times New Roman" w:hAnsi="Times New Roman" w:cs="Times New Roman"/>
        </w:rPr>
        <w:t>.</w:t>
      </w:r>
    </w:p>
    <w:p w:rsidR="009A6551" w:rsidRPr="009A6551" w:rsidRDefault="009A6551" w:rsidP="009A6551">
      <w:pPr>
        <w:pStyle w:val="ListParagraph"/>
        <w:numPr>
          <w:ilvl w:val="0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</w:rPr>
      </w:pPr>
      <w:r w:rsidRPr="009A6551">
        <w:rPr>
          <w:rFonts w:ascii="Times New Roman" w:hAnsi="Times New Roman" w:cs="Times New Roman"/>
          <w:b/>
        </w:rPr>
        <w:t>COVERAGE A</w:t>
      </w:r>
      <w:r w:rsidRPr="009A6551">
        <w:rPr>
          <w:rFonts w:ascii="Times New Roman" w:hAnsi="Times New Roman" w:cs="Times New Roman"/>
        </w:rPr>
        <w:t xml:space="preserve"> – BODILY INJURY AND PROPERTY DAMAGE LIABILITY, </w:t>
      </w:r>
      <w:r w:rsidR="00FA1DE2">
        <w:rPr>
          <w:rFonts w:ascii="Times New Roman" w:hAnsi="Times New Roman" w:cs="Times New Roman"/>
        </w:rPr>
        <w:t xml:space="preserve">Paragraph </w:t>
      </w:r>
      <w:r w:rsidRPr="009A6551">
        <w:rPr>
          <w:rFonts w:ascii="Times New Roman" w:hAnsi="Times New Roman" w:cs="Times New Roman"/>
        </w:rPr>
        <w:t xml:space="preserve">2. </w:t>
      </w:r>
      <w:r w:rsidRPr="009A6551">
        <w:rPr>
          <w:rFonts w:ascii="Times New Roman" w:hAnsi="Times New Roman" w:cs="Times New Roman"/>
          <w:b/>
        </w:rPr>
        <w:t>Exclusions.</w:t>
      </w:r>
      <w:r w:rsidRPr="009A6551">
        <w:rPr>
          <w:rFonts w:ascii="Times New Roman" w:hAnsi="Times New Roman" w:cs="Times New Roman"/>
        </w:rPr>
        <w:t xml:space="preserve"> (c) LIQUOR LIABILITY:   Consistent with a change that ISO made in November 2013, a provision was added to </w:t>
      </w:r>
      <w:r w:rsidR="00616EBE">
        <w:rPr>
          <w:rFonts w:ascii="Times New Roman" w:hAnsi="Times New Roman" w:cs="Times New Roman"/>
        </w:rPr>
        <w:t xml:space="preserve">this exclusion </w:t>
      </w:r>
      <w:r w:rsidRPr="009A6551">
        <w:rPr>
          <w:rFonts w:ascii="Times New Roman" w:hAnsi="Times New Roman" w:cs="Times New Roman"/>
        </w:rPr>
        <w:t>to clarify that an insured that permits a person to bring alcoholic beverages onto the premises for consumption is not deemed to be “in the business” of selling or furnishing alcoholic beverages for the purpose of this exclusion.</w:t>
      </w:r>
    </w:p>
    <w:p w:rsidR="003D73C4" w:rsidRPr="009A6551" w:rsidRDefault="006F4023" w:rsidP="009A6551">
      <w:pPr>
        <w:pStyle w:val="ListParagraph"/>
        <w:numPr>
          <w:ilvl w:val="0"/>
          <w:numId w:val="2"/>
        </w:numPr>
        <w:spacing w:after="120" w:line="240" w:lineRule="auto"/>
        <w:ind w:left="540" w:hanging="547"/>
        <w:jc w:val="both"/>
        <w:rPr>
          <w:rFonts w:ascii="Times New Roman" w:hAnsi="Times New Roman" w:cs="Times New Roman"/>
        </w:rPr>
      </w:pPr>
      <w:r w:rsidRPr="009A6551">
        <w:rPr>
          <w:rFonts w:ascii="Times New Roman" w:hAnsi="Times New Roman" w:cs="Times New Roman"/>
          <w:b/>
        </w:rPr>
        <w:t>COVERAGE A</w:t>
      </w:r>
      <w:r w:rsidRPr="009A6551">
        <w:rPr>
          <w:rFonts w:ascii="Times New Roman" w:hAnsi="Times New Roman" w:cs="Times New Roman"/>
        </w:rPr>
        <w:t xml:space="preserve"> – BODILY INJURY AND PROPERTY DAMAGE LIABILITY, </w:t>
      </w:r>
      <w:r w:rsidR="00FA1DE2">
        <w:rPr>
          <w:rFonts w:ascii="Times New Roman" w:hAnsi="Times New Roman" w:cs="Times New Roman"/>
        </w:rPr>
        <w:t xml:space="preserve">Paragraph </w:t>
      </w:r>
      <w:r w:rsidRPr="009A6551">
        <w:rPr>
          <w:rFonts w:ascii="Times New Roman" w:hAnsi="Times New Roman" w:cs="Times New Roman"/>
        </w:rPr>
        <w:t xml:space="preserve">2. </w:t>
      </w:r>
      <w:r w:rsidRPr="009A6551">
        <w:rPr>
          <w:rFonts w:ascii="Times New Roman" w:hAnsi="Times New Roman" w:cs="Times New Roman"/>
          <w:b/>
        </w:rPr>
        <w:t>Exclusions.</w:t>
      </w:r>
      <w:r w:rsidRPr="009A6551">
        <w:rPr>
          <w:rFonts w:ascii="Times New Roman" w:hAnsi="Times New Roman" w:cs="Times New Roman"/>
        </w:rPr>
        <w:t xml:space="preserve"> (g) AUTO OR WATERCRAFT:   Since coverage under this form may apply to </w:t>
      </w:r>
      <w:r w:rsidR="00E36AB9">
        <w:rPr>
          <w:rFonts w:ascii="Times New Roman" w:hAnsi="Times New Roman" w:cs="Times New Roman"/>
        </w:rPr>
        <w:t>locations that are not “states” (</w:t>
      </w:r>
      <w:r w:rsidRPr="009A6551">
        <w:rPr>
          <w:rFonts w:ascii="Times New Roman" w:hAnsi="Times New Roman" w:cs="Times New Roman"/>
        </w:rPr>
        <w:t>territories</w:t>
      </w:r>
      <w:r w:rsidR="00E36AB9">
        <w:rPr>
          <w:rFonts w:ascii="Times New Roman" w:hAnsi="Times New Roman" w:cs="Times New Roman"/>
        </w:rPr>
        <w:t xml:space="preserve"> and commonwealths</w:t>
      </w:r>
      <w:r w:rsidRPr="009A6551">
        <w:rPr>
          <w:rFonts w:ascii="Times New Roman" w:hAnsi="Times New Roman" w:cs="Times New Roman"/>
        </w:rPr>
        <w:t xml:space="preserve">, </w:t>
      </w:r>
      <w:r w:rsidR="00E36AB9">
        <w:rPr>
          <w:rFonts w:ascii="Times New Roman" w:hAnsi="Times New Roman" w:cs="Times New Roman"/>
        </w:rPr>
        <w:t xml:space="preserve">for example), </w:t>
      </w:r>
      <w:r w:rsidRPr="009A6551">
        <w:rPr>
          <w:rFonts w:ascii="Times New Roman" w:hAnsi="Times New Roman" w:cs="Times New Roman"/>
        </w:rPr>
        <w:t>t</w:t>
      </w:r>
      <w:r w:rsidR="003D73C4" w:rsidRPr="009A6551">
        <w:rPr>
          <w:rFonts w:ascii="Times New Roman" w:hAnsi="Times New Roman" w:cs="Times New Roman"/>
        </w:rPr>
        <w:t>he phrase “in the state” has been removed from references to where autos are licensed or garage</w:t>
      </w:r>
      <w:r w:rsidR="00AE3318" w:rsidRPr="009A6551">
        <w:rPr>
          <w:rFonts w:ascii="Times New Roman" w:hAnsi="Times New Roman" w:cs="Times New Roman"/>
        </w:rPr>
        <w:t>d</w:t>
      </w:r>
      <w:r w:rsidRPr="009A6551">
        <w:rPr>
          <w:rFonts w:ascii="Times New Roman" w:hAnsi="Times New Roman" w:cs="Times New Roman"/>
        </w:rPr>
        <w:t>.</w:t>
      </w:r>
      <w:r w:rsidR="003D73C4" w:rsidRPr="009A6551">
        <w:rPr>
          <w:rFonts w:ascii="Times New Roman" w:hAnsi="Times New Roman" w:cs="Times New Roman"/>
        </w:rPr>
        <w:tab/>
      </w:r>
    </w:p>
    <w:p w:rsidR="00F71D38" w:rsidRPr="009A6551" w:rsidRDefault="009A6551" w:rsidP="009A6551">
      <w:pPr>
        <w:spacing w:after="60" w:line="240" w:lineRule="auto"/>
        <w:ind w:left="540" w:hanging="547"/>
        <w:jc w:val="both"/>
        <w:rPr>
          <w:rFonts w:ascii="Times New Roman" w:hAnsi="Times New Roman" w:cs="Times New Roman"/>
        </w:rPr>
      </w:pPr>
      <w:r w:rsidRPr="009A6551">
        <w:rPr>
          <w:rFonts w:ascii="Times New Roman" w:hAnsi="Times New Roman" w:cs="Times New Roman"/>
        </w:rPr>
        <w:t>4</w:t>
      </w:r>
      <w:r w:rsidR="00F71D38" w:rsidRPr="009A6551">
        <w:rPr>
          <w:rFonts w:ascii="Times New Roman" w:hAnsi="Times New Roman" w:cs="Times New Roman"/>
        </w:rPr>
        <w:t>.</w:t>
      </w:r>
      <w:r w:rsidR="00F71D38" w:rsidRPr="009A6551">
        <w:rPr>
          <w:rFonts w:ascii="Times New Roman" w:hAnsi="Times New Roman" w:cs="Times New Roman"/>
        </w:rPr>
        <w:tab/>
        <w:t>Correction</w:t>
      </w:r>
      <w:r w:rsidR="00E36AB9">
        <w:rPr>
          <w:rFonts w:ascii="Times New Roman" w:hAnsi="Times New Roman" w:cs="Times New Roman"/>
        </w:rPr>
        <w:t>s</w:t>
      </w:r>
      <w:r w:rsidR="00F71D38" w:rsidRPr="009A6551">
        <w:rPr>
          <w:rFonts w:ascii="Times New Roman" w:hAnsi="Times New Roman" w:cs="Times New Roman"/>
        </w:rPr>
        <w:t xml:space="preserve"> have been made to the title of the </w:t>
      </w:r>
      <w:r w:rsidR="00F71D38" w:rsidRPr="009A6551">
        <w:rPr>
          <w:rFonts w:ascii="Times New Roman" w:hAnsi="Times New Roman" w:cs="Times New Roman"/>
          <w:b/>
        </w:rPr>
        <w:t>Fair and Accurate Credit Transactions Act (FACTA)</w:t>
      </w:r>
      <w:r w:rsidR="00F71D38" w:rsidRPr="009A6551">
        <w:rPr>
          <w:rFonts w:ascii="Times New Roman" w:hAnsi="Times New Roman" w:cs="Times New Roman"/>
        </w:rPr>
        <w:t xml:space="preserve"> which appears in the RECORDING AND DISTRIBUTION OF MATERIAL OR INFORMATION IN VIOLATION OF LAW exclusions:</w:t>
      </w:r>
    </w:p>
    <w:p w:rsidR="00F71D38" w:rsidRPr="009A6551" w:rsidRDefault="00F71D38" w:rsidP="009A6551">
      <w:pPr>
        <w:spacing w:after="60" w:line="240" w:lineRule="auto"/>
        <w:ind w:left="1080" w:hanging="547"/>
        <w:jc w:val="both"/>
        <w:rPr>
          <w:rFonts w:ascii="Times New Roman" w:hAnsi="Times New Roman" w:cs="Times New Roman"/>
        </w:rPr>
      </w:pPr>
      <w:r w:rsidRPr="009A6551">
        <w:rPr>
          <w:rFonts w:ascii="Times New Roman" w:hAnsi="Times New Roman" w:cs="Times New Roman"/>
        </w:rPr>
        <w:t>a.</w:t>
      </w:r>
      <w:r w:rsidRPr="009A6551">
        <w:rPr>
          <w:rFonts w:ascii="Times New Roman" w:hAnsi="Times New Roman" w:cs="Times New Roman"/>
          <w:b/>
        </w:rPr>
        <w:tab/>
        <w:t>COVERAGE A</w:t>
      </w:r>
      <w:r w:rsidRPr="009A6551">
        <w:rPr>
          <w:rFonts w:ascii="Times New Roman" w:hAnsi="Times New Roman" w:cs="Times New Roman"/>
        </w:rPr>
        <w:t xml:space="preserve"> – BODILY INJURY AND PROPERTY DAMAGE LIABILITY, </w:t>
      </w:r>
      <w:r w:rsidR="00E36AB9">
        <w:rPr>
          <w:rFonts w:ascii="Times New Roman" w:hAnsi="Times New Roman" w:cs="Times New Roman"/>
        </w:rPr>
        <w:t xml:space="preserve">Paragraph </w:t>
      </w:r>
      <w:r w:rsidRPr="009A6551">
        <w:rPr>
          <w:rFonts w:ascii="Times New Roman" w:hAnsi="Times New Roman" w:cs="Times New Roman"/>
        </w:rPr>
        <w:t xml:space="preserve">2. </w:t>
      </w:r>
      <w:r w:rsidRPr="009A6551">
        <w:rPr>
          <w:rFonts w:ascii="Times New Roman" w:hAnsi="Times New Roman" w:cs="Times New Roman"/>
          <w:b/>
        </w:rPr>
        <w:t>Exclusion</w:t>
      </w:r>
      <w:r w:rsidRPr="009A6551">
        <w:rPr>
          <w:rFonts w:ascii="Times New Roman" w:hAnsi="Times New Roman" w:cs="Times New Roman"/>
        </w:rPr>
        <w:t xml:space="preserve"> </w:t>
      </w:r>
      <w:r w:rsidR="00E10ACB" w:rsidRPr="009A6551">
        <w:rPr>
          <w:rFonts w:ascii="Times New Roman" w:hAnsi="Times New Roman" w:cs="Times New Roman"/>
        </w:rPr>
        <w:t xml:space="preserve">(p), and </w:t>
      </w:r>
    </w:p>
    <w:p w:rsidR="00E36AB9" w:rsidRDefault="00F71D38" w:rsidP="009A6551">
      <w:pPr>
        <w:spacing w:after="120" w:line="240" w:lineRule="auto"/>
        <w:ind w:left="1080" w:hanging="547"/>
        <w:jc w:val="both"/>
        <w:rPr>
          <w:rFonts w:ascii="Times New Roman" w:hAnsi="Times New Roman" w:cs="Times New Roman"/>
        </w:rPr>
      </w:pPr>
      <w:r w:rsidRPr="009A6551">
        <w:rPr>
          <w:rFonts w:ascii="Times New Roman" w:hAnsi="Times New Roman" w:cs="Times New Roman"/>
        </w:rPr>
        <w:t>b.</w:t>
      </w:r>
      <w:r w:rsidRPr="009A6551">
        <w:rPr>
          <w:rFonts w:ascii="Times New Roman" w:hAnsi="Times New Roman" w:cs="Times New Roman"/>
        </w:rPr>
        <w:tab/>
      </w:r>
      <w:r w:rsidRPr="009A6551">
        <w:rPr>
          <w:rFonts w:ascii="Times New Roman" w:hAnsi="Times New Roman" w:cs="Times New Roman"/>
          <w:b/>
        </w:rPr>
        <w:t xml:space="preserve">COVERAGE B - </w:t>
      </w:r>
      <w:r w:rsidRPr="009A6551">
        <w:rPr>
          <w:rFonts w:ascii="Times New Roman" w:hAnsi="Times New Roman" w:cs="Times New Roman"/>
        </w:rPr>
        <w:t xml:space="preserve">PERSONAL AND ADVERTISING INJURY LIABILITY, </w:t>
      </w:r>
      <w:r w:rsidR="00E36AB9">
        <w:rPr>
          <w:rFonts w:ascii="Times New Roman" w:hAnsi="Times New Roman" w:cs="Times New Roman"/>
        </w:rPr>
        <w:t xml:space="preserve">Paragraph </w:t>
      </w:r>
      <w:r w:rsidRPr="009A6551">
        <w:rPr>
          <w:rFonts w:ascii="Times New Roman" w:hAnsi="Times New Roman" w:cs="Times New Roman"/>
        </w:rPr>
        <w:t xml:space="preserve">2. </w:t>
      </w:r>
      <w:r w:rsidR="00E10ACB" w:rsidRPr="009A6551">
        <w:rPr>
          <w:rFonts w:ascii="Times New Roman" w:hAnsi="Times New Roman" w:cs="Times New Roman"/>
          <w:b/>
        </w:rPr>
        <w:t>Exclusion</w:t>
      </w:r>
      <w:r w:rsidRPr="009A6551">
        <w:rPr>
          <w:rFonts w:ascii="Times New Roman" w:hAnsi="Times New Roman" w:cs="Times New Roman"/>
        </w:rPr>
        <w:t xml:space="preserve"> (m). </w:t>
      </w:r>
      <w:r w:rsidR="00E36AB9">
        <w:rPr>
          <w:rFonts w:ascii="Times New Roman" w:hAnsi="Times New Roman" w:cs="Times New Roman"/>
        </w:rPr>
        <w:t xml:space="preserve"> </w:t>
      </w:r>
    </w:p>
    <w:p w:rsidR="003D73C4" w:rsidRDefault="00E36AB9" w:rsidP="00E36AB9">
      <w:pPr>
        <w:spacing w:after="120" w:line="240" w:lineRule="auto"/>
        <w:ind w:left="540" w:hanging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both instances</w:t>
      </w:r>
      <w:r w:rsidR="003D73C4" w:rsidRPr="009A6551">
        <w:rPr>
          <w:rFonts w:ascii="Times New Roman" w:hAnsi="Times New Roman" w:cs="Times New Roman"/>
        </w:rPr>
        <w:t xml:space="preserve">, subparagraph (4) of </w:t>
      </w:r>
      <w:r w:rsidR="00F71D38" w:rsidRPr="009A6551">
        <w:rPr>
          <w:rFonts w:ascii="Times New Roman" w:hAnsi="Times New Roman" w:cs="Times New Roman"/>
        </w:rPr>
        <w:t>this e</w:t>
      </w:r>
      <w:r w:rsidR="003D73C4" w:rsidRPr="009A6551">
        <w:rPr>
          <w:rFonts w:ascii="Times New Roman" w:hAnsi="Times New Roman" w:cs="Times New Roman"/>
        </w:rPr>
        <w:t>xclusion now includes the words: “and their amendments and additions.”</w:t>
      </w:r>
    </w:p>
    <w:p w:rsidR="009A6551" w:rsidRDefault="009A6551" w:rsidP="009A6551">
      <w:pPr>
        <w:spacing w:after="0" w:line="240" w:lineRule="auto"/>
        <w:ind w:left="1080" w:hanging="547"/>
        <w:jc w:val="both"/>
        <w:rPr>
          <w:rFonts w:ascii="Times New Roman" w:hAnsi="Times New Roman" w:cs="Times New Roman"/>
        </w:rPr>
      </w:pPr>
    </w:p>
    <w:p w:rsidR="00E10ACB" w:rsidRPr="009A6551" w:rsidRDefault="00E10ACB" w:rsidP="009A6551">
      <w:pPr>
        <w:spacing w:line="240" w:lineRule="auto"/>
        <w:rPr>
          <w:rFonts w:ascii="Times New Roman" w:hAnsi="Times New Roman" w:cs="Times New Roman"/>
          <w:b/>
        </w:rPr>
      </w:pPr>
      <w:r w:rsidRPr="009A6551">
        <w:rPr>
          <w:rFonts w:ascii="Times New Roman" w:hAnsi="Times New Roman" w:cs="Times New Roman"/>
          <w:b/>
        </w:rPr>
        <w:t>SECTION II – GENERAL POLICY EXCLUSIONS</w:t>
      </w:r>
      <w:bookmarkStart w:id="0" w:name="_GoBack"/>
      <w:bookmarkEnd w:id="0"/>
      <w:r w:rsidRPr="009A6551">
        <w:rPr>
          <w:rFonts w:ascii="Times New Roman" w:hAnsi="Times New Roman" w:cs="Times New Roman"/>
          <w:b/>
        </w:rPr>
        <w:t>:</w:t>
      </w:r>
    </w:p>
    <w:p w:rsidR="00E10ACB" w:rsidRPr="00167D96" w:rsidRDefault="00E10ACB" w:rsidP="00616EBE">
      <w:pPr>
        <w:pStyle w:val="ListParagraph"/>
        <w:numPr>
          <w:ilvl w:val="0"/>
          <w:numId w:val="4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</w:rPr>
      </w:pPr>
      <w:r w:rsidRPr="00167D96">
        <w:rPr>
          <w:rFonts w:ascii="Times New Roman" w:hAnsi="Times New Roman" w:cs="Times New Roman"/>
        </w:rPr>
        <w:t xml:space="preserve">The order of the General Exclusions </w:t>
      </w:r>
      <w:r w:rsidR="00616EBE">
        <w:rPr>
          <w:rFonts w:ascii="Times New Roman" w:hAnsi="Times New Roman" w:cs="Times New Roman"/>
        </w:rPr>
        <w:t xml:space="preserve">in this section </w:t>
      </w:r>
      <w:r w:rsidRPr="00167D96">
        <w:rPr>
          <w:rFonts w:ascii="Times New Roman" w:hAnsi="Times New Roman" w:cs="Times New Roman"/>
        </w:rPr>
        <w:t>has been changed.  The N</w:t>
      </w:r>
      <w:r w:rsidR="00616EBE">
        <w:rPr>
          <w:rFonts w:ascii="Times New Roman" w:hAnsi="Times New Roman" w:cs="Times New Roman"/>
        </w:rPr>
        <w:t>UCLEAR</w:t>
      </w:r>
      <w:r w:rsidRPr="00167D96">
        <w:rPr>
          <w:rFonts w:ascii="Times New Roman" w:hAnsi="Times New Roman" w:cs="Times New Roman"/>
        </w:rPr>
        <w:t xml:space="preserve"> R</w:t>
      </w:r>
      <w:r w:rsidR="00616EBE">
        <w:rPr>
          <w:rFonts w:ascii="Times New Roman" w:hAnsi="Times New Roman" w:cs="Times New Roman"/>
        </w:rPr>
        <w:t>ISKS</w:t>
      </w:r>
      <w:r w:rsidRPr="00167D96">
        <w:rPr>
          <w:rFonts w:ascii="Times New Roman" w:hAnsi="Times New Roman" w:cs="Times New Roman"/>
        </w:rPr>
        <w:t xml:space="preserve"> exclusion has been m</w:t>
      </w:r>
      <w:r w:rsidR="00616EBE">
        <w:rPr>
          <w:rFonts w:ascii="Times New Roman" w:hAnsi="Times New Roman" w:cs="Times New Roman"/>
        </w:rPr>
        <w:t xml:space="preserve">oved in front of the </w:t>
      </w:r>
      <w:r w:rsidRPr="00167D96">
        <w:rPr>
          <w:rFonts w:ascii="Times New Roman" w:hAnsi="Times New Roman" w:cs="Times New Roman"/>
        </w:rPr>
        <w:t>A</w:t>
      </w:r>
      <w:r w:rsidR="00616EBE">
        <w:rPr>
          <w:rFonts w:ascii="Times New Roman" w:hAnsi="Times New Roman" w:cs="Times New Roman"/>
        </w:rPr>
        <w:t>SBESTOS</w:t>
      </w:r>
      <w:r w:rsidRPr="00167D96">
        <w:rPr>
          <w:rFonts w:ascii="Times New Roman" w:hAnsi="Times New Roman" w:cs="Times New Roman"/>
        </w:rPr>
        <w:t xml:space="preserve"> and </w:t>
      </w:r>
      <w:r w:rsidR="00616EBE" w:rsidRPr="009A6551">
        <w:rPr>
          <w:rFonts w:ascii="Times New Roman" w:hAnsi="Times New Roman" w:cs="Times New Roman"/>
        </w:rPr>
        <w:t>NOISE POLLUTION AND OTHER PERILS</w:t>
      </w:r>
      <w:r w:rsidR="00616EBE">
        <w:rPr>
          <w:rFonts w:ascii="Times New Roman" w:hAnsi="Times New Roman" w:cs="Times New Roman"/>
        </w:rPr>
        <w:t xml:space="preserve"> exclusion</w:t>
      </w:r>
      <w:r w:rsidRPr="00167D96">
        <w:rPr>
          <w:rFonts w:ascii="Times New Roman" w:hAnsi="Times New Roman" w:cs="Times New Roman"/>
        </w:rPr>
        <w:t>.  (The “Guide to the Provisions of Your Policy” has been changed accordingly.)</w:t>
      </w:r>
    </w:p>
    <w:p w:rsidR="00E10ACB" w:rsidRPr="009A6551" w:rsidRDefault="00E10ACB" w:rsidP="00167D96">
      <w:pPr>
        <w:pStyle w:val="ListParagraph"/>
        <w:numPr>
          <w:ilvl w:val="0"/>
          <w:numId w:val="4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</w:rPr>
      </w:pPr>
      <w:r w:rsidRPr="009A6551">
        <w:rPr>
          <w:rFonts w:ascii="Times New Roman" w:hAnsi="Times New Roman" w:cs="Times New Roman"/>
        </w:rPr>
        <w:t>Exclusion 5. NOISE POL</w:t>
      </w:r>
      <w:r w:rsidR="00BD120C">
        <w:rPr>
          <w:rFonts w:ascii="Times New Roman" w:hAnsi="Times New Roman" w:cs="Times New Roman"/>
        </w:rPr>
        <w:t>L</w:t>
      </w:r>
      <w:r w:rsidRPr="009A6551">
        <w:rPr>
          <w:rFonts w:ascii="Times New Roman" w:hAnsi="Times New Roman" w:cs="Times New Roman"/>
        </w:rPr>
        <w:t>UTION AND OTHER PERILS:  The crash, fire, explosion, etc. e</w:t>
      </w:r>
      <w:r w:rsidR="00AE3318" w:rsidRPr="009A6551">
        <w:rPr>
          <w:rFonts w:ascii="Times New Roman" w:hAnsi="Times New Roman" w:cs="Times New Roman"/>
        </w:rPr>
        <w:t xml:space="preserve">xception </w:t>
      </w:r>
      <w:r w:rsidRPr="009A6551">
        <w:rPr>
          <w:rFonts w:ascii="Times New Roman" w:hAnsi="Times New Roman" w:cs="Times New Roman"/>
        </w:rPr>
        <w:t xml:space="preserve">to this exclusion has been more clearly expressed </w:t>
      </w:r>
      <w:r w:rsidR="00AE3318" w:rsidRPr="009A6551">
        <w:rPr>
          <w:rFonts w:ascii="Times New Roman" w:hAnsi="Times New Roman" w:cs="Times New Roman"/>
        </w:rPr>
        <w:t xml:space="preserve">to </w:t>
      </w:r>
      <w:r w:rsidRPr="009A6551">
        <w:rPr>
          <w:rFonts w:ascii="Times New Roman" w:hAnsi="Times New Roman" w:cs="Times New Roman"/>
        </w:rPr>
        <w:t xml:space="preserve">apply to </w:t>
      </w:r>
      <w:r w:rsidR="00AE3318" w:rsidRPr="009A6551">
        <w:rPr>
          <w:rFonts w:ascii="Times New Roman" w:hAnsi="Times New Roman" w:cs="Times New Roman"/>
        </w:rPr>
        <w:t xml:space="preserve">aircraft.  </w:t>
      </w:r>
    </w:p>
    <w:p w:rsidR="00AE3318" w:rsidRDefault="00E10ACB" w:rsidP="00167D96">
      <w:pPr>
        <w:pStyle w:val="ListParagraph"/>
        <w:numPr>
          <w:ilvl w:val="0"/>
          <w:numId w:val="4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</w:rPr>
      </w:pPr>
      <w:r w:rsidRPr="009A6551">
        <w:rPr>
          <w:rFonts w:ascii="Times New Roman" w:hAnsi="Times New Roman" w:cs="Times New Roman"/>
        </w:rPr>
        <w:t xml:space="preserve">Exclusion 7. </w:t>
      </w:r>
      <w:r w:rsidRPr="009A6551">
        <w:rPr>
          <w:rFonts w:ascii="Times New Roman" w:hAnsi="Times New Roman" w:cs="Times New Roman"/>
          <w:spacing w:val="-2"/>
        </w:rPr>
        <w:t>TRADE OR ECONOMIC SANCTIONS AND CONFORMITY WITH LAW</w:t>
      </w:r>
      <w:r w:rsidR="009A6551" w:rsidRPr="009A6551">
        <w:rPr>
          <w:rFonts w:ascii="Times New Roman" w:hAnsi="Times New Roman" w:cs="Times New Roman"/>
        </w:rPr>
        <w:t xml:space="preserve">: </w:t>
      </w:r>
      <w:r w:rsidR="009A3A38">
        <w:rPr>
          <w:rFonts w:ascii="Times New Roman" w:hAnsi="Times New Roman" w:cs="Times New Roman"/>
        </w:rPr>
        <w:t xml:space="preserve">Sanctions is now clearly addressed as a new exclusion.  (The reference to sanctions has been removed from the </w:t>
      </w:r>
      <w:r w:rsidR="009A6551" w:rsidRPr="009A6551">
        <w:rPr>
          <w:rFonts w:ascii="Times New Roman" w:hAnsi="Times New Roman" w:cs="Times New Roman"/>
        </w:rPr>
        <w:t>Conformity with Law provision</w:t>
      </w:r>
      <w:r w:rsidR="009A3A38">
        <w:rPr>
          <w:rFonts w:ascii="Times New Roman" w:hAnsi="Times New Roman" w:cs="Times New Roman"/>
        </w:rPr>
        <w:t xml:space="preserve"> in SECTION V – POLICY CONDITIONS</w:t>
      </w:r>
      <w:r w:rsidR="009A6551" w:rsidRPr="009A6551">
        <w:rPr>
          <w:rFonts w:ascii="Times New Roman" w:hAnsi="Times New Roman" w:cs="Times New Roman"/>
        </w:rPr>
        <w:t>.</w:t>
      </w:r>
      <w:r w:rsidR="009A3A38">
        <w:rPr>
          <w:rFonts w:ascii="Times New Roman" w:hAnsi="Times New Roman" w:cs="Times New Roman"/>
        </w:rPr>
        <w:t>)</w:t>
      </w:r>
      <w:r w:rsidR="009A6551" w:rsidRPr="009A6551">
        <w:rPr>
          <w:rFonts w:ascii="Times New Roman" w:hAnsi="Times New Roman" w:cs="Times New Roman"/>
        </w:rPr>
        <w:t xml:space="preserve"> </w:t>
      </w:r>
    </w:p>
    <w:p w:rsidR="00167D96" w:rsidRDefault="00167D96" w:rsidP="00167D96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167D96" w:rsidRPr="00167D96" w:rsidRDefault="00167D96" w:rsidP="00167D96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OTHER</w:t>
      </w:r>
      <w:r w:rsidRPr="00167D96">
        <w:rPr>
          <w:rFonts w:ascii="Times New Roman" w:hAnsi="Times New Roman" w:cs="Times New Roman"/>
          <w:b/>
        </w:rPr>
        <w:t>:</w:t>
      </w:r>
    </w:p>
    <w:p w:rsidR="00AE3318" w:rsidRPr="00167D96" w:rsidRDefault="006A5B17" w:rsidP="00167D96">
      <w:pPr>
        <w:spacing w:before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Mandatory</w:t>
      </w:r>
      <w:r w:rsidR="00AB3ACA" w:rsidRPr="00167D96">
        <w:rPr>
          <w:rFonts w:ascii="Times New Roman" w:hAnsi="Times New Roman" w:cs="Times New Roman"/>
        </w:rPr>
        <w:t xml:space="preserve"> endorsements </w:t>
      </w:r>
      <w:r>
        <w:rPr>
          <w:rFonts w:ascii="Times New Roman" w:hAnsi="Times New Roman" w:cs="Times New Roman"/>
        </w:rPr>
        <w:t xml:space="preserve">for each state, commonwealth </w:t>
      </w:r>
      <w:r w:rsidR="00D16076"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</w:rPr>
        <w:t xml:space="preserve"> territory </w:t>
      </w:r>
      <w:r w:rsidR="00657AF3">
        <w:rPr>
          <w:rFonts w:ascii="Times New Roman" w:hAnsi="Times New Roman" w:cs="Times New Roman"/>
        </w:rPr>
        <w:t xml:space="preserve">must be issued with every </w:t>
      </w:r>
      <w:r w:rsidR="00AB3ACA" w:rsidRPr="00167D96">
        <w:rPr>
          <w:rFonts w:ascii="Times New Roman" w:hAnsi="Times New Roman" w:cs="Times New Roman"/>
        </w:rPr>
        <w:t>AGL policy to address changes required by law.   The</w:t>
      </w:r>
      <w:r>
        <w:rPr>
          <w:rFonts w:ascii="Times New Roman" w:hAnsi="Times New Roman" w:cs="Times New Roman"/>
        </w:rPr>
        <w:t xml:space="preserve"> form number for each of these endorsements </w:t>
      </w:r>
      <w:r w:rsidR="00AB3ACA" w:rsidRPr="00167D96">
        <w:rPr>
          <w:rFonts w:ascii="Times New Roman" w:hAnsi="Times New Roman" w:cs="Times New Roman"/>
        </w:rPr>
        <w:t>begin</w:t>
      </w:r>
      <w:r>
        <w:rPr>
          <w:rFonts w:ascii="Times New Roman" w:hAnsi="Times New Roman" w:cs="Times New Roman"/>
        </w:rPr>
        <w:t>s</w:t>
      </w:r>
      <w:r w:rsidR="00AB3ACA" w:rsidRPr="00167D96">
        <w:rPr>
          <w:rFonts w:ascii="Times New Roman" w:hAnsi="Times New Roman" w:cs="Times New Roman"/>
        </w:rPr>
        <w:t xml:space="preserve"> with the prefix “AGLS”</w:t>
      </w:r>
      <w:r>
        <w:rPr>
          <w:rFonts w:ascii="Times New Roman" w:hAnsi="Times New Roman" w:cs="Times New Roman"/>
        </w:rPr>
        <w:t>. Their content is</w:t>
      </w:r>
      <w:r w:rsidR="00AB3ACA" w:rsidRPr="00167D96">
        <w:rPr>
          <w:rFonts w:ascii="Times New Roman" w:hAnsi="Times New Roman" w:cs="Times New Roman"/>
        </w:rPr>
        <w:t xml:space="preserve"> updated as required.</w:t>
      </w:r>
    </w:p>
    <w:sectPr w:rsidR="00AE3318" w:rsidRPr="00167D9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DF1" w:rsidRDefault="00D34DF1" w:rsidP="00AB1240">
      <w:pPr>
        <w:spacing w:after="0" w:line="240" w:lineRule="auto"/>
      </w:pPr>
      <w:r>
        <w:separator/>
      </w:r>
    </w:p>
  </w:endnote>
  <w:endnote w:type="continuationSeparator" w:id="0">
    <w:p w:rsidR="00D34DF1" w:rsidRDefault="00D34DF1" w:rsidP="00AB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40" w:rsidRDefault="00AB1240" w:rsidP="003A060E">
    <w:pPr>
      <w:pStyle w:val="Footer"/>
      <w:pBdr>
        <w:top w:val="thinThickSmallGap" w:sz="24" w:space="1" w:color="622423" w:themeColor="accent2" w:themeShade="7F"/>
      </w:pBdr>
      <w:tabs>
        <w:tab w:val="left" w:pos="828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AGL (December 1, 2013) Advisory </w:t>
    </w:r>
    <w:r w:rsidR="003D73C4">
      <w:rPr>
        <w:rFonts w:asciiTheme="majorHAnsi" w:eastAsiaTheme="majorEastAsia" w:hAnsiTheme="majorHAnsi" w:cstheme="majorBidi"/>
      </w:rPr>
      <w:t>Dated August 1</w:t>
    </w:r>
    <w:r w:rsidR="00F279A4">
      <w:rPr>
        <w:rFonts w:asciiTheme="majorHAnsi" w:eastAsiaTheme="majorEastAsia" w:hAnsiTheme="majorHAnsi" w:cstheme="majorBidi"/>
      </w:rPr>
      <w:t>8</w:t>
    </w:r>
    <w:r w:rsidR="003D73C4">
      <w:rPr>
        <w:rFonts w:asciiTheme="majorHAnsi" w:eastAsiaTheme="majorEastAsia" w:hAnsiTheme="majorHAnsi" w:cstheme="majorBidi"/>
      </w:rPr>
      <w:t>, 2014</w:t>
    </w:r>
    <w:r>
      <w:rPr>
        <w:rFonts w:asciiTheme="majorHAnsi" w:eastAsiaTheme="majorEastAsia" w:hAnsiTheme="majorHAnsi" w:cstheme="majorBidi"/>
      </w:rPr>
      <w:tab/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1D4CBD" w:rsidRPr="001D4CBD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  <w:r w:rsidR="003A060E">
      <w:rPr>
        <w:rFonts w:asciiTheme="majorHAnsi" w:eastAsiaTheme="majorEastAsia" w:hAnsiTheme="majorHAnsi" w:cstheme="majorBidi"/>
        <w:noProof/>
      </w:rPr>
      <w:t xml:space="preserve"> of </w:t>
    </w:r>
    <w:r w:rsidR="003A060E">
      <w:rPr>
        <w:rFonts w:asciiTheme="majorHAnsi" w:eastAsiaTheme="majorEastAsia" w:hAnsiTheme="majorHAnsi" w:cstheme="majorBidi"/>
        <w:noProof/>
      </w:rPr>
      <w:fldChar w:fldCharType="begin"/>
    </w:r>
    <w:r w:rsidR="003A060E">
      <w:rPr>
        <w:rFonts w:asciiTheme="majorHAnsi" w:eastAsiaTheme="majorEastAsia" w:hAnsiTheme="majorHAnsi" w:cstheme="majorBidi"/>
        <w:noProof/>
      </w:rPr>
      <w:instrText xml:space="preserve"> NUMPAGES  \* Arabic  \* MERGEFORMAT </w:instrText>
    </w:r>
    <w:r w:rsidR="003A060E">
      <w:rPr>
        <w:rFonts w:asciiTheme="majorHAnsi" w:eastAsiaTheme="majorEastAsia" w:hAnsiTheme="majorHAnsi" w:cstheme="majorBidi"/>
        <w:noProof/>
      </w:rPr>
      <w:fldChar w:fldCharType="separate"/>
    </w:r>
    <w:r w:rsidR="001D4CBD">
      <w:rPr>
        <w:rFonts w:asciiTheme="majorHAnsi" w:eastAsiaTheme="majorEastAsia" w:hAnsiTheme="majorHAnsi" w:cstheme="majorBidi"/>
        <w:noProof/>
      </w:rPr>
      <w:t>1</w:t>
    </w:r>
    <w:r w:rsidR="003A060E">
      <w:rPr>
        <w:rFonts w:asciiTheme="majorHAnsi" w:eastAsiaTheme="majorEastAsia" w:hAnsiTheme="majorHAnsi" w:cstheme="majorBidi"/>
        <w:noProof/>
      </w:rPr>
      <w:fldChar w:fldCharType="end"/>
    </w:r>
  </w:p>
  <w:p w:rsidR="00AB1240" w:rsidRDefault="00AB12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DF1" w:rsidRDefault="00D34DF1" w:rsidP="00AB1240">
      <w:pPr>
        <w:spacing w:after="0" w:line="240" w:lineRule="auto"/>
      </w:pPr>
      <w:r>
        <w:separator/>
      </w:r>
    </w:p>
  </w:footnote>
  <w:footnote w:type="continuationSeparator" w:id="0">
    <w:p w:rsidR="00D34DF1" w:rsidRDefault="00D34DF1" w:rsidP="00AB1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C7C" w:rsidRDefault="00D07C7C" w:rsidP="00D07C7C">
    <w:pPr>
      <w:pStyle w:val="Header"/>
      <w:rPr>
        <w:rFonts w:ascii="Times New Roman" w:hAnsi="Times New Roman" w:cs="Times New Roman"/>
        <w:b/>
        <w:sz w:val="24"/>
        <w:szCs w:val="24"/>
      </w:rPr>
    </w:pPr>
    <w:r w:rsidRPr="00D07C7C">
      <w:rPr>
        <w:rFonts w:ascii="Times New Roman" w:hAnsi="Times New Roman" w:cs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FE4B1E" wp14:editId="3A949112">
              <wp:simplePos x="0" y="0"/>
              <wp:positionH relativeFrom="column">
                <wp:posOffset>-847725</wp:posOffset>
              </wp:positionH>
              <wp:positionV relativeFrom="paragraph">
                <wp:posOffset>-285750</wp:posOffset>
              </wp:positionV>
              <wp:extent cx="198120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7C7C" w:rsidRDefault="00D07C7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DD8CAB3" wp14:editId="30E53442">
                                <wp:extent cx="1390650" cy="565078"/>
                                <wp:effectExtent l="0" t="0" r="0" b="698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A-Logo-snippet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90650" cy="56507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6.75pt;margin-top:-22.5pt;width:15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OzyDgIAAPUDAAAOAAAAZHJzL2Uyb0RvYy54bWysU9tu2zAMfR+wfxD0vthOkzUxohRduwwD&#10;ugvQ7gMUWY6FSaImKbGzry8lp2mwvQ3zgyCa5CHPIbW6GYwmB+mDAstoNSkpkVZAo+yO0R9Pm3cL&#10;SkLktuEarGT0KAO9Wb99s+pdLafQgW6kJwhiQ907RrsYXV0UQXTS8DABJy06W/CGRzT9rmg87xHd&#10;6GJalu+LHnzjPAgZAv69H510nfHbVor4rW2DjEQzir3FfPp8btNZrFe83nnuOiVObfB/6MJwZbHo&#10;GeqeR072Xv0FZZTwEKCNEwGmgLZVQmYOyKYq/2Dz2HEnMxcUJ7izTOH/wYqvh++eqIbRq/KaEssN&#10;DulJDpF8gIFMkz69CzWGPToMjAP+xjlnrsE9gPgZiIW7jtudvPUe+k7yBvurUmZxkTrihASy7b9A&#10;g2X4PkIGGlpvkngoB0F0nNPxPJvUikgll4sKB06JQF81K6+Wi3muweuXdOdD/CTBkHRh1OPwMzw/&#10;PISY2uH1S0iqZmGjtM4LoC3pGV3Op/OccOExKuJ+amUYXZTpGzcmsfxom5wcudLjHQtoe6KdmI6c&#10;47AdMDBpsYXmiAJ4GPcQ3w1eOvC/KelxBxkNv/bcS0r0Z4siLqvZLC1tNmbz6yka/tKzvfRwKxCK&#10;0UjJeL2LedET1+BuUeyNyjK8dnLqFXcrq3N6B2l5L+0c9fpa188AAAD//wMAUEsDBBQABgAIAAAA&#10;IQC0pDbD3wAAAAwBAAAPAAAAZHJzL2Rvd25yZXYueG1sTI9Lb8IwEITvlfofrK3UGziB8lAaB6EK&#10;6LGURj2beEki4odsE9J/382pvc3ujma/yTeD7liPPrTWCEinCTA0lVWtqQWUX/vJGliI0ijZWYMC&#10;fjDApnh8yGWm7N18Yn+KNaMQEzIpoInRZZyHqkEtw9Q6NHS7WK9lpNHXXHl5p3Dd8VmSLLmWraEP&#10;jXT41mB1Pd20ABfdYfXuP47b3b5Pyu9DOWvrnRDPT8P2FVjEIf6ZYcQndCiI6WxvRgXWCZik8/mC&#10;vKReFtRqtKzWtDmPYpkCL3L+v0TxCwAA//8DAFBLAQItABQABgAIAAAAIQC2gziS/gAAAOEBAAAT&#10;AAAAAAAAAAAAAAAAAAAAAABbQ29udGVudF9UeXBlc10ueG1sUEsBAi0AFAAGAAgAAAAhADj9If/W&#10;AAAAlAEAAAsAAAAAAAAAAAAAAAAALwEAAF9yZWxzLy5yZWxzUEsBAi0AFAAGAAgAAAAhADD07PIO&#10;AgAA9QMAAA4AAAAAAAAAAAAAAAAALgIAAGRycy9lMm9Eb2MueG1sUEsBAi0AFAAGAAgAAAAhALSk&#10;NsPfAAAADAEAAA8AAAAAAAAAAAAAAAAAaAQAAGRycy9kb3ducmV2LnhtbFBLBQYAAAAABAAEAPMA&#10;AAB0BQAAAAA=&#10;" filled="f" stroked="f">
              <v:textbox style="mso-fit-shape-to-text:t">
                <w:txbxContent>
                  <w:p w:rsidR="00D07C7C" w:rsidRDefault="00D07C7C">
                    <w:r>
                      <w:rPr>
                        <w:noProof/>
                      </w:rPr>
                      <w:drawing>
                        <wp:inline distT="0" distB="0" distL="0" distR="0" wp14:anchorId="0BEE2687" wp14:editId="4A48B985">
                          <wp:extent cx="1390650" cy="565078"/>
                          <wp:effectExtent l="0" t="0" r="0" b="698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A-Logo-snippet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90650" cy="56507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AB1240" w:rsidRPr="00AB1240" w:rsidRDefault="00AB1240" w:rsidP="00D07C7C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AB1240">
      <w:rPr>
        <w:rFonts w:ascii="Times New Roman" w:hAnsi="Times New Roman" w:cs="Times New Roman"/>
        <w:b/>
        <w:sz w:val="24"/>
        <w:szCs w:val="24"/>
      </w:rPr>
      <w:t>DECEMBER 1, 2013 REVISIONS TO</w:t>
    </w:r>
  </w:p>
  <w:p w:rsidR="00AB1240" w:rsidRPr="00AB1240" w:rsidRDefault="00AB1240" w:rsidP="00AB1240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AB1240">
      <w:rPr>
        <w:rFonts w:ascii="Times New Roman" w:hAnsi="Times New Roman" w:cs="Times New Roman"/>
        <w:b/>
        <w:sz w:val="24"/>
        <w:szCs w:val="24"/>
      </w:rPr>
      <w:t>AVIATION GROUND OPERATIONS LIABILITY INSURANCE POLICY FORM</w:t>
    </w:r>
  </w:p>
  <w:p w:rsidR="00AB1240" w:rsidRPr="00AB1240" w:rsidRDefault="00AB1240" w:rsidP="00AB1240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AB1240">
      <w:rPr>
        <w:rFonts w:ascii="Times New Roman" w:hAnsi="Times New Roman" w:cs="Times New Roman"/>
        <w:b/>
        <w:sz w:val="24"/>
        <w:szCs w:val="24"/>
      </w:rPr>
      <w:t>AND RELATED DOCUMENTS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0FD4"/>
    <w:multiLevelType w:val="hybridMultilevel"/>
    <w:tmpl w:val="F140C4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1D7FAB"/>
    <w:multiLevelType w:val="hybridMultilevel"/>
    <w:tmpl w:val="3D1256AC"/>
    <w:lvl w:ilvl="0" w:tplc="776A7E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A0E05"/>
    <w:multiLevelType w:val="hybridMultilevel"/>
    <w:tmpl w:val="F4D05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9637F"/>
    <w:multiLevelType w:val="hybridMultilevel"/>
    <w:tmpl w:val="3D1256AC"/>
    <w:lvl w:ilvl="0" w:tplc="776A7E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40"/>
    <w:rsid w:val="00035AAA"/>
    <w:rsid w:val="0009653A"/>
    <w:rsid w:val="00167D96"/>
    <w:rsid w:val="001D4CBD"/>
    <w:rsid w:val="00215479"/>
    <w:rsid w:val="00216778"/>
    <w:rsid w:val="002C7002"/>
    <w:rsid w:val="002C70B1"/>
    <w:rsid w:val="0039373C"/>
    <w:rsid w:val="003A060E"/>
    <w:rsid w:val="003D73C4"/>
    <w:rsid w:val="004462A5"/>
    <w:rsid w:val="00553702"/>
    <w:rsid w:val="00616EBE"/>
    <w:rsid w:val="0064718F"/>
    <w:rsid w:val="00657AF3"/>
    <w:rsid w:val="006A5B17"/>
    <w:rsid w:val="006E12C7"/>
    <w:rsid w:val="006F4023"/>
    <w:rsid w:val="00763C83"/>
    <w:rsid w:val="008053D3"/>
    <w:rsid w:val="00835B95"/>
    <w:rsid w:val="009A3A38"/>
    <w:rsid w:val="009A6551"/>
    <w:rsid w:val="00A04905"/>
    <w:rsid w:val="00A31C44"/>
    <w:rsid w:val="00AA620D"/>
    <w:rsid w:val="00AB1240"/>
    <w:rsid w:val="00AB3ACA"/>
    <w:rsid w:val="00AE3318"/>
    <w:rsid w:val="00B56D7E"/>
    <w:rsid w:val="00B96227"/>
    <w:rsid w:val="00BD120C"/>
    <w:rsid w:val="00CB1EAE"/>
    <w:rsid w:val="00D07C7C"/>
    <w:rsid w:val="00D16076"/>
    <w:rsid w:val="00D34DF1"/>
    <w:rsid w:val="00D65520"/>
    <w:rsid w:val="00E10ACB"/>
    <w:rsid w:val="00E36AB9"/>
    <w:rsid w:val="00E96D26"/>
    <w:rsid w:val="00F279A4"/>
    <w:rsid w:val="00F71D38"/>
    <w:rsid w:val="00FA1DE2"/>
    <w:rsid w:val="00FB0076"/>
    <w:rsid w:val="00FE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240"/>
  </w:style>
  <w:style w:type="paragraph" w:styleId="Footer">
    <w:name w:val="footer"/>
    <w:basedOn w:val="Normal"/>
    <w:link w:val="FooterChar"/>
    <w:uiPriority w:val="99"/>
    <w:unhideWhenUsed/>
    <w:rsid w:val="00AB1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240"/>
  </w:style>
  <w:style w:type="paragraph" w:styleId="BalloonText">
    <w:name w:val="Balloon Text"/>
    <w:basedOn w:val="Normal"/>
    <w:link w:val="BalloonTextChar"/>
    <w:uiPriority w:val="99"/>
    <w:semiHidden/>
    <w:unhideWhenUsed/>
    <w:rsid w:val="00AB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7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240"/>
  </w:style>
  <w:style w:type="paragraph" w:styleId="Footer">
    <w:name w:val="footer"/>
    <w:basedOn w:val="Normal"/>
    <w:link w:val="FooterChar"/>
    <w:uiPriority w:val="99"/>
    <w:unhideWhenUsed/>
    <w:rsid w:val="00AB1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240"/>
  </w:style>
  <w:style w:type="paragraph" w:styleId="BalloonText">
    <w:name w:val="Balloon Text"/>
    <w:basedOn w:val="Normal"/>
    <w:link w:val="BalloonTextChar"/>
    <w:uiPriority w:val="99"/>
    <w:semiHidden/>
    <w:unhideWhenUsed/>
    <w:rsid w:val="00AB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7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Aerospace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Wujkowski</dc:creator>
  <cp:lastModifiedBy>Jessica Wujkowski</cp:lastModifiedBy>
  <cp:revision>16</cp:revision>
  <cp:lastPrinted>2014-08-05T15:52:00Z</cp:lastPrinted>
  <dcterms:created xsi:type="dcterms:W3CDTF">2014-08-05T13:25:00Z</dcterms:created>
  <dcterms:modified xsi:type="dcterms:W3CDTF">2014-08-18T14:16:00Z</dcterms:modified>
</cp:coreProperties>
</file>